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625A66">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textAlignment w:val="auto"/>
        <w:rPr>
          <w:rFonts w:hint="eastAsia" w:ascii="黑体" w:hAnsi="黑体" w:eastAsia="黑体" w:cs="黑体"/>
          <w:color w:val="auto"/>
          <w:sz w:val="32"/>
          <w:szCs w:val="32"/>
          <w:lang w:val="en-US" w:eastAsia="zh-CN"/>
        </w:rPr>
      </w:pPr>
    </w:p>
    <w:p w14:paraId="35DD07A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left="0" w:leftChars="0" w:firstLine="210" w:firstLineChars="100"/>
        <w:textAlignment w:val="auto"/>
        <w:rPr>
          <w:rFonts w:hint="default" w:ascii="Times New Roman" w:hAnsi="Times New Roman" w:eastAsia="仿宋_GB2312" w:cs="Times New Roman"/>
          <w:color w:val="auto"/>
        </w:rPr>
      </w:pPr>
    </w:p>
    <w:p w14:paraId="55D019A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left="0" w:leftChars="0" w:firstLine="210" w:firstLineChars="100"/>
        <w:textAlignment w:val="auto"/>
        <w:rPr>
          <w:rFonts w:hint="default" w:ascii="Times New Roman" w:hAnsi="Times New Roman" w:eastAsia="仿宋_GB2312" w:cs="Times New Roman"/>
          <w:color w:val="auto"/>
        </w:rPr>
      </w:pPr>
    </w:p>
    <w:p w14:paraId="5EDA57E8">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left="0" w:leftChars="0" w:firstLine="210" w:firstLineChars="100"/>
        <w:textAlignment w:val="auto"/>
        <w:rPr>
          <w:rFonts w:hint="default" w:ascii="Times New Roman" w:hAnsi="Times New Roman" w:eastAsia="仿宋_GB2312" w:cs="Times New Roman"/>
          <w:color w:val="auto"/>
        </w:rPr>
      </w:pPr>
    </w:p>
    <w:p w14:paraId="5CCF4350">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left="0" w:leftChars="0" w:firstLine="210" w:firstLineChars="100"/>
        <w:textAlignment w:val="auto"/>
        <w:rPr>
          <w:rFonts w:hint="default" w:ascii="Times New Roman" w:hAnsi="Times New Roman" w:eastAsia="仿宋_GB2312" w:cs="Times New Roman"/>
          <w:color w:val="auto"/>
        </w:rPr>
      </w:pPr>
    </w:p>
    <w:p w14:paraId="7593670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260" w:lineRule="exact"/>
        <w:ind w:left="0" w:leftChars="0" w:firstLine="210" w:firstLineChars="100"/>
        <w:textAlignment w:val="auto"/>
        <w:rPr>
          <w:rFonts w:hint="default" w:ascii="Times New Roman" w:hAnsi="Times New Roman" w:eastAsia="仿宋_GB2312" w:cs="Times New Roman"/>
          <w:color w:val="auto"/>
        </w:rPr>
      </w:pPr>
    </w:p>
    <w:p w14:paraId="64D65FAA">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left="0" w:leftChars="0" w:firstLine="210" w:firstLineChars="100"/>
        <w:textAlignment w:val="auto"/>
        <w:rPr>
          <w:rFonts w:hint="default" w:ascii="Times New Roman" w:hAnsi="Times New Roman" w:eastAsia="仿宋_GB2312" w:cs="Times New Roman"/>
          <w:color w:val="auto"/>
        </w:rPr>
      </w:pPr>
    </w:p>
    <w:p w14:paraId="30415365">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left="0" w:leftChars="0" w:firstLine="210" w:firstLineChars="100"/>
        <w:textAlignment w:val="auto"/>
        <w:rPr>
          <w:rFonts w:hint="default" w:ascii="Times New Roman" w:hAnsi="Times New Roman" w:eastAsia="仿宋_GB2312" w:cs="Times New Roman"/>
          <w:color w:val="auto"/>
        </w:rPr>
      </w:pPr>
    </w:p>
    <w:p w14:paraId="1DC80B1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left="0" w:leftChars="0" w:firstLine="210" w:firstLineChars="100"/>
        <w:textAlignment w:val="auto"/>
        <w:rPr>
          <w:rFonts w:hint="default" w:ascii="Times New Roman" w:hAnsi="Times New Roman" w:eastAsia="仿宋_GB2312" w:cs="Times New Roman"/>
          <w:color w:val="auto"/>
        </w:rPr>
      </w:pPr>
    </w:p>
    <w:p w14:paraId="7C04D042">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left="0" w:leftChars="0" w:firstLine="210" w:firstLineChars="100"/>
        <w:textAlignment w:val="auto"/>
        <w:rPr>
          <w:rFonts w:hint="default" w:ascii="Times New Roman" w:hAnsi="Times New Roman" w:eastAsia="仿宋_GB2312" w:cs="Times New Roman"/>
          <w:color w:val="auto"/>
        </w:rPr>
      </w:pPr>
    </w:p>
    <w:p w14:paraId="30F9F359">
      <w:pPr>
        <w:keepNext w:val="0"/>
        <w:keepLines w:val="0"/>
        <w:pageBreakBefore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left="0" w:leftChars="0" w:firstLine="210" w:firstLineChars="100"/>
        <w:textAlignment w:val="auto"/>
        <w:rPr>
          <w:rFonts w:hint="default" w:ascii="Times New Roman" w:hAnsi="Times New Roman" w:eastAsia="仿宋_GB2312" w:cs="Times New Roman"/>
          <w:color w:val="auto"/>
        </w:rPr>
      </w:pPr>
    </w:p>
    <w:p w14:paraId="3B7766F8">
      <w:pPr>
        <w:keepNext w:val="0"/>
        <w:keepLines w:val="0"/>
        <w:pageBreakBefore w:val="0"/>
        <w:widowControl w:val="0"/>
        <w:kinsoku/>
        <w:wordWrap/>
        <w:overflowPunct/>
        <w:topLinePunct w:val="0"/>
        <w:autoSpaceDE/>
        <w:autoSpaceDN/>
        <w:bidi w:val="0"/>
        <w:adjustRightInd/>
        <w:snapToGrid/>
        <w:spacing w:line="600" w:lineRule="exact"/>
        <w:ind w:left="0" w:leftChars="0" w:firstLine="320" w:firstLineChars="100"/>
        <w:jc w:val="center"/>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咸财</w:t>
      </w:r>
      <w:r>
        <w:rPr>
          <w:rFonts w:hint="eastAsia" w:ascii="Times New Roman" w:hAnsi="Times New Roman" w:eastAsia="仿宋_GB2312" w:cs="Times New Roman"/>
          <w:color w:val="auto"/>
          <w:kern w:val="2"/>
          <w:sz w:val="32"/>
          <w:szCs w:val="32"/>
          <w:lang w:val="en-US" w:eastAsia="zh-CN" w:bidi="ar-SA"/>
        </w:rPr>
        <w:t>资发</w:t>
      </w:r>
      <w:r>
        <w:rPr>
          <w:rFonts w:hint="default" w:ascii="Times New Roman" w:hAnsi="Times New Roman" w:eastAsia="仿宋_GB2312" w:cs="Times New Roman"/>
          <w:color w:val="auto"/>
          <w:kern w:val="2"/>
          <w:sz w:val="32"/>
          <w:szCs w:val="32"/>
          <w:lang w:val="en-US" w:eastAsia="zh-CN" w:bidi="ar-SA"/>
        </w:rPr>
        <w:t>〔202</w:t>
      </w:r>
      <w:r>
        <w:rPr>
          <w:rFonts w:hint="eastAsia" w:ascii="Times New Roman" w:hAnsi="Times New Roman"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color w:val="auto"/>
          <w:kern w:val="2"/>
          <w:sz w:val="32"/>
          <w:szCs w:val="32"/>
          <w:lang w:val="en-US" w:eastAsia="zh-CN" w:bidi="ar-SA"/>
        </w:rPr>
        <w:t>5</w:t>
      </w:r>
      <w:r>
        <w:rPr>
          <w:rFonts w:hint="default" w:ascii="Times New Roman" w:hAnsi="Times New Roman" w:eastAsia="仿宋_GB2312" w:cs="Times New Roman"/>
          <w:color w:val="auto"/>
          <w:kern w:val="2"/>
          <w:sz w:val="32"/>
          <w:szCs w:val="32"/>
          <w:lang w:val="en-US" w:eastAsia="zh-CN" w:bidi="ar-SA"/>
        </w:rPr>
        <w:t>号</w:t>
      </w:r>
    </w:p>
    <w:p w14:paraId="1FB33400">
      <w:pPr>
        <w:keepNext w:val="0"/>
        <w:keepLines w:val="0"/>
        <w:pageBreakBefore w:val="0"/>
        <w:widowControl w:val="0"/>
        <w:kinsoku/>
        <w:wordWrap/>
        <w:overflowPunct/>
        <w:topLinePunct w:val="0"/>
        <w:autoSpaceDE/>
        <w:autoSpaceDN/>
        <w:bidi w:val="0"/>
        <w:adjustRightInd/>
        <w:snapToGrid/>
        <w:spacing w:line="700" w:lineRule="exact"/>
        <w:ind w:left="0" w:leftChars="0"/>
        <w:textAlignment w:val="auto"/>
        <w:rPr>
          <w:rFonts w:hint="default" w:ascii="Times New Roman" w:hAnsi="Times New Roman" w:cs="Times New Roman"/>
          <w:color w:val="auto"/>
          <w:szCs w:val="32"/>
        </w:rPr>
      </w:pPr>
    </w:p>
    <w:p w14:paraId="1A43EBF1">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pacing w:val="-11"/>
          <w:sz w:val="44"/>
          <w:szCs w:val="44"/>
          <w:lang w:val="en-US" w:eastAsia="zh-CN"/>
        </w:rPr>
      </w:pPr>
      <w:r>
        <w:rPr>
          <w:rFonts w:hint="eastAsia" w:ascii="方正小标宋简体" w:hAnsi="方正小标宋简体" w:eastAsia="方正小标宋简体" w:cs="方正小标宋简体"/>
          <w:spacing w:val="-11"/>
          <w:sz w:val="44"/>
          <w:szCs w:val="44"/>
          <w:lang w:val="en-US" w:eastAsia="zh-CN"/>
        </w:rPr>
        <w:t>咸宁</w:t>
      </w:r>
      <w:r>
        <w:rPr>
          <w:rFonts w:hint="eastAsia" w:ascii="方正小标宋简体" w:hAnsi="方正小标宋简体" w:eastAsia="方正小标宋简体" w:cs="方正小标宋简体"/>
          <w:spacing w:val="-11"/>
          <w:sz w:val="44"/>
          <w:szCs w:val="44"/>
        </w:rPr>
        <w:t>市财政局</w:t>
      </w:r>
      <w:r>
        <w:rPr>
          <w:rFonts w:hint="eastAsia" w:ascii="方正小标宋简体" w:hAnsi="方正小标宋简体" w:eastAsia="方正小标宋简体" w:cs="方正小标宋简体"/>
          <w:spacing w:val="-11"/>
          <w:sz w:val="44"/>
          <w:szCs w:val="44"/>
          <w:lang w:eastAsia="zh-CN"/>
        </w:rPr>
        <w:t>关于印发</w:t>
      </w:r>
      <w:r>
        <w:rPr>
          <w:rFonts w:hint="eastAsia" w:ascii="方正小标宋简体" w:hAnsi="方正小标宋简体" w:eastAsia="方正小标宋简体" w:cs="方正小标宋简体"/>
          <w:spacing w:val="-11"/>
          <w:sz w:val="44"/>
          <w:szCs w:val="44"/>
          <w:lang w:val="en-US" w:eastAsia="zh-CN"/>
        </w:rPr>
        <w:t>《咸宁市市直行政事业单位国有资产使用、处置管理办法》的通知</w:t>
      </w:r>
    </w:p>
    <w:p w14:paraId="11BB697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eastAsia="zh-CN"/>
        </w:rPr>
      </w:pPr>
    </w:p>
    <w:p w14:paraId="3AC7F7E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市直各部门（单位）：</w:t>
      </w:r>
    </w:p>
    <w:p w14:paraId="71FC1E8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为进一步规范和加强市级行政事业单位国有资产管理，维护国有资产安全和完整，保障行政事业单位履行职能和事业发展需要，根据《行政事业性国有资产管理条例》（国务</w:t>
      </w:r>
      <w:r>
        <w:rPr>
          <w:rFonts w:hint="default" w:ascii="Times New Roman" w:hAnsi="Times New Roman" w:eastAsia="仿宋_GB2312" w:cs="Times New Roman"/>
          <w:spacing w:val="-6"/>
          <w:sz w:val="32"/>
          <w:szCs w:val="32"/>
          <w:lang w:val="en-US" w:eastAsia="zh-CN"/>
        </w:rPr>
        <w:t>院令第738号）、《湖北省行政事业性国有资产监督管理条例》等有关规定，市财政局制定了《咸宁市市直行政事业单位国有资产使用、处置管理办法》</w:t>
      </w:r>
      <w:r>
        <w:rPr>
          <w:rFonts w:hint="default" w:ascii="Times New Roman" w:hAnsi="Times New Roman" w:eastAsia="仿宋_GB2312" w:cs="Times New Roman"/>
          <w:spacing w:val="-6"/>
          <w:sz w:val="32"/>
          <w:szCs w:val="32"/>
          <w:lang w:eastAsia="zh-CN"/>
        </w:rPr>
        <w:t>，现印发给你们，请遵照执行。</w:t>
      </w:r>
    </w:p>
    <w:p w14:paraId="28CACB87">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Times New Roman" w:hAnsi="Times New Roman" w:eastAsia="仿宋_GB2312" w:cs="Times New Roman"/>
          <w:sz w:val="32"/>
          <w:szCs w:val="32"/>
          <w:lang w:eastAsia="zh-CN"/>
        </w:rPr>
      </w:pPr>
    </w:p>
    <w:p w14:paraId="7CB6CC99">
      <w:pPr>
        <w:keepNext w:val="0"/>
        <w:keepLines w:val="0"/>
        <w:pageBreakBefore w:val="0"/>
        <w:widowControl w:val="0"/>
        <w:kinsoku/>
        <w:wordWrap/>
        <w:overflowPunct/>
        <w:topLinePunct w:val="0"/>
        <w:autoSpaceDE/>
        <w:autoSpaceDN/>
        <w:bidi w:val="0"/>
        <w:adjustRightInd/>
        <w:snapToGrid/>
        <w:spacing w:before="0" w:beforeLines="0" w:after="0" w:afterLines="0" w:line="580" w:lineRule="exact"/>
        <w:ind w:left="0" w:leftChars="0" w:right="0" w:rightChars="0"/>
        <w:jc w:val="center"/>
        <w:textAlignment w:val="auto"/>
        <w:outlineLvl w:val="9"/>
        <w:rPr>
          <w:rFonts w:hint="eastAsia" w:ascii="Times New Roman" w:hAnsi="Times New Roman" w:eastAsia="仿宋_GB2312" w:cs="Times New Roman"/>
          <w:spacing w:val="-17"/>
          <w:sz w:val="32"/>
          <w:szCs w:val="32"/>
          <w:lang w:val="en-US" w:eastAsia="zh-CN"/>
        </w:rPr>
      </w:pPr>
      <w:r>
        <w:rPr>
          <w:rFonts w:hint="eastAsia" w:ascii="Times New Roman" w:hAnsi="Times New Roman" w:eastAsia="仿宋_GB2312" w:cs="Times New Roman"/>
          <w:spacing w:val="-17"/>
          <w:sz w:val="32"/>
          <w:szCs w:val="32"/>
          <w:lang w:val="en-US" w:eastAsia="zh-CN"/>
        </w:rPr>
        <w:t xml:space="preserve">    附件：咸宁市市直行政事业单位国有资产使用、处置管理办法</w:t>
      </w:r>
    </w:p>
    <w:p w14:paraId="22B0B382">
      <w:pPr>
        <w:rPr>
          <w:rFonts w:hint="default"/>
          <w:lang w:val="en-US" w:eastAsia="zh-CN"/>
        </w:rPr>
      </w:pPr>
    </w:p>
    <w:p w14:paraId="1149915E">
      <w:pPr>
        <w:pStyle w:val="2"/>
        <w:rPr>
          <w:rFonts w:hint="default"/>
          <w:lang w:val="en-US" w:eastAsia="zh-CN"/>
        </w:rPr>
      </w:pPr>
      <w:bookmarkStart w:id="0" w:name="_GoBack"/>
      <w:bookmarkEnd w:id="0"/>
    </w:p>
    <w:p w14:paraId="2AE89D7C">
      <w:pPr>
        <w:pStyle w:val="6"/>
        <w:keepNext w:val="0"/>
        <w:keepLines w:val="0"/>
        <w:pageBreakBefore w:val="0"/>
        <w:widowControl w:val="0"/>
        <w:kinsoku/>
        <w:wordWrap/>
        <w:overflowPunct/>
        <w:topLinePunct w:val="0"/>
        <w:autoSpaceDE/>
        <w:autoSpaceDN/>
        <w:bidi w:val="0"/>
        <w:adjustRightInd/>
        <w:snapToGrid/>
        <w:spacing w:after="0" w:line="500" w:lineRule="exact"/>
        <w:ind w:firstLine="5120" w:firstLineChars="16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咸宁市财政局 </w:t>
      </w:r>
    </w:p>
    <w:p w14:paraId="78B52CA6">
      <w:pPr>
        <w:keepNext w:val="0"/>
        <w:keepLines w:val="0"/>
        <w:pageBreakBefore w:val="0"/>
        <w:widowControl w:val="0"/>
        <w:kinsoku/>
        <w:wordWrap/>
        <w:overflowPunct/>
        <w:topLinePunct w:val="0"/>
        <w:autoSpaceDE/>
        <w:autoSpaceDN/>
        <w:bidi w:val="0"/>
        <w:adjustRightInd/>
        <w:snapToGrid/>
        <w:spacing w:line="500" w:lineRule="exact"/>
        <w:ind w:left="0" w:leftChars="0" w:firstLine="128" w:firstLineChars="40"/>
        <w:jc w:val="center"/>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 xml:space="preserve">                </w:t>
      </w:r>
      <w:r>
        <w:rPr>
          <w:rFonts w:hint="eastAsia" w:ascii="Times New Roman" w:hAnsi="Times New Roman" w:eastAsia="仿宋_GB2312" w:cs="Times New Roman"/>
          <w:color w:val="auto"/>
          <w:kern w:val="2"/>
          <w:sz w:val="32"/>
          <w:szCs w:val="32"/>
          <w:lang w:val="en-US" w:eastAsia="zh-CN" w:bidi="ar-SA"/>
        </w:rPr>
        <w:t xml:space="preserve"> </w:t>
      </w:r>
      <w:r>
        <w:rPr>
          <w:rFonts w:hint="default" w:ascii="Times New Roman" w:hAnsi="Times New Roman" w:eastAsia="仿宋_GB2312" w:cs="Times New Roman"/>
          <w:color w:val="auto"/>
          <w:kern w:val="2"/>
          <w:sz w:val="32"/>
          <w:szCs w:val="32"/>
          <w:lang w:val="en-US" w:eastAsia="zh-CN" w:bidi="ar-SA"/>
        </w:rPr>
        <w:t xml:space="preserve">     202</w:t>
      </w:r>
      <w:r>
        <w:rPr>
          <w:rFonts w:hint="eastAsia" w:ascii="Times New Roman" w:hAnsi="Times New Roman" w:eastAsia="仿宋_GB2312" w:cs="Times New Roman"/>
          <w:color w:val="auto"/>
          <w:kern w:val="2"/>
          <w:sz w:val="32"/>
          <w:szCs w:val="32"/>
          <w:lang w:val="en-US" w:eastAsia="zh-CN" w:bidi="ar-SA"/>
        </w:rPr>
        <w:t>6</w:t>
      </w:r>
      <w:r>
        <w:rPr>
          <w:rFonts w:hint="default" w:ascii="Times New Roman" w:hAnsi="Times New Roman" w:eastAsia="仿宋_GB2312" w:cs="Times New Roman"/>
          <w:color w:val="auto"/>
          <w:kern w:val="2"/>
          <w:sz w:val="32"/>
          <w:szCs w:val="32"/>
          <w:lang w:val="en-US" w:eastAsia="zh-CN" w:bidi="ar-SA"/>
        </w:rPr>
        <w:t>年</w:t>
      </w:r>
      <w:r>
        <w:rPr>
          <w:rFonts w:hint="eastAsia" w:ascii="Times New Roman" w:hAnsi="Times New Roman" w:eastAsia="仿宋_GB2312" w:cs="Times New Roman"/>
          <w:color w:val="auto"/>
          <w:kern w:val="2"/>
          <w:sz w:val="32"/>
          <w:szCs w:val="32"/>
          <w:lang w:val="en-US" w:eastAsia="zh-CN" w:bidi="ar-SA"/>
        </w:rPr>
        <w:t>8</w:t>
      </w:r>
      <w:r>
        <w:rPr>
          <w:rFonts w:hint="default" w:ascii="Times New Roman" w:hAnsi="Times New Roman" w:eastAsia="仿宋_GB2312" w:cs="Times New Roman"/>
          <w:color w:val="auto"/>
          <w:kern w:val="2"/>
          <w:sz w:val="32"/>
          <w:szCs w:val="32"/>
          <w:lang w:val="en-US" w:eastAsia="zh-CN" w:bidi="ar-SA"/>
        </w:rPr>
        <w:t>月</w:t>
      </w:r>
      <w:r>
        <w:rPr>
          <w:rFonts w:hint="eastAsia" w:ascii="Times New Roman" w:hAnsi="Times New Roman" w:eastAsia="仿宋_GB2312" w:cs="Times New Roman"/>
          <w:color w:val="auto"/>
          <w:kern w:val="2"/>
          <w:sz w:val="32"/>
          <w:szCs w:val="32"/>
          <w:lang w:val="en-US" w:eastAsia="zh-CN" w:bidi="ar-SA"/>
        </w:rPr>
        <w:t>19</w:t>
      </w:r>
      <w:r>
        <w:rPr>
          <w:rFonts w:hint="default" w:ascii="Times New Roman" w:hAnsi="Times New Roman" w:eastAsia="仿宋_GB2312" w:cs="Times New Roman"/>
          <w:color w:val="auto"/>
          <w:kern w:val="2"/>
          <w:sz w:val="32"/>
          <w:szCs w:val="32"/>
          <w:lang w:val="en-US" w:eastAsia="zh-CN" w:bidi="ar-SA"/>
        </w:rPr>
        <w:t>日</w:t>
      </w:r>
    </w:p>
    <w:p w14:paraId="26E8E026">
      <w:pPr>
        <w:rPr>
          <w:rFonts w:hint="eastAsia" w:ascii="黑体" w:hAnsi="黑体" w:eastAsia="黑体" w:cs="黑体"/>
          <w:color w:val="auto"/>
          <w:spacing w:val="0"/>
          <w:kern w:val="0"/>
          <w:sz w:val="32"/>
          <w:szCs w:val="32"/>
          <w:highlight w:val="none"/>
          <w:lang w:val="en-US" w:eastAsia="zh-CN"/>
        </w:rPr>
      </w:pPr>
      <w:r>
        <w:rPr>
          <w:rFonts w:hint="eastAsia" w:ascii="黑体" w:hAnsi="黑体" w:eastAsia="黑体" w:cs="黑体"/>
          <w:color w:val="auto"/>
          <w:spacing w:val="0"/>
          <w:kern w:val="0"/>
          <w:sz w:val="32"/>
          <w:szCs w:val="32"/>
          <w:highlight w:val="none"/>
          <w:lang w:val="en-US" w:eastAsia="zh-CN"/>
        </w:rPr>
        <w:t>附件</w:t>
      </w:r>
    </w:p>
    <w:p w14:paraId="64078379">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center"/>
        <w:textAlignment w:val="auto"/>
        <w:outlineLvl w:val="9"/>
        <w:rPr>
          <w:rFonts w:hint="eastAsia" w:ascii="方正小标宋简体" w:hAnsi="方正小标宋简体" w:eastAsia="方正小标宋简体" w:cs="方正小标宋简体"/>
          <w:color w:val="auto"/>
          <w:spacing w:val="0"/>
          <w:kern w:val="0"/>
          <w:sz w:val="44"/>
          <w:szCs w:val="44"/>
          <w:highlight w:val="none"/>
          <w:lang w:val="en-US" w:eastAsia="zh-CN"/>
        </w:rPr>
      </w:pPr>
    </w:p>
    <w:p w14:paraId="5B005729">
      <w:pPr>
        <w:keepNext w:val="0"/>
        <w:keepLines w:val="0"/>
        <w:pageBreakBefore w:val="0"/>
        <w:widowControl w:val="0"/>
        <w:kinsoku/>
        <w:wordWrap/>
        <w:overflowPunct/>
        <w:topLinePunct w:val="0"/>
        <w:autoSpaceDE/>
        <w:autoSpaceDN/>
        <w:bidi w:val="0"/>
        <w:adjustRightInd/>
        <w:snapToGrid/>
        <w:spacing w:before="0" w:beforeLines="0" w:after="0" w:afterLines="0" w:line="61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eastAsia="zh-CN"/>
        </w:rPr>
        <w:t>咸宁市市直行政事业单位国有资产</w:t>
      </w:r>
    </w:p>
    <w:p w14:paraId="6AE653D8">
      <w:pPr>
        <w:keepNext w:val="0"/>
        <w:keepLines w:val="0"/>
        <w:pageBreakBefore w:val="0"/>
        <w:widowControl w:val="0"/>
        <w:kinsoku/>
        <w:wordWrap/>
        <w:overflowPunct/>
        <w:topLinePunct w:val="0"/>
        <w:autoSpaceDE/>
        <w:autoSpaceDN/>
        <w:bidi w:val="0"/>
        <w:adjustRightInd/>
        <w:snapToGrid/>
        <w:spacing w:before="0" w:beforeLines="0" w:after="0" w:afterLines="0" w:line="61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eastAsia="zh-CN"/>
        </w:rPr>
        <w:t>使用、处置管理办法</w:t>
      </w:r>
    </w:p>
    <w:p w14:paraId="721DEE8C">
      <w:pPr>
        <w:keepNext w:val="0"/>
        <w:keepLines w:val="0"/>
        <w:pageBreakBefore w:val="0"/>
        <w:widowControl w:val="0"/>
        <w:kinsoku/>
        <w:wordWrap/>
        <w:overflowPunct/>
        <w:topLinePunct w:val="0"/>
        <w:autoSpaceDE/>
        <w:autoSpaceDN/>
        <w:bidi w:val="0"/>
        <w:adjustRightInd/>
        <w:snapToGrid/>
        <w:spacing w:before="0" w:beforeLines="0" w:after="0" w:afterLines="0" w:line="610" w:lineRule="exact"/>
        <w:ind w:left="0" w:leftChars="0" w:right="0" w:rightChars="0" w:firstLine="0" w:firstLineChars="0"/>
        <w:jc w:val="center"/>
        <w:textAlignment w:val="auto"/>
        <w:outlineLvl w:val="9"/>
        <w:rPr>
          <w:rFonts w:hint="default" w:ascii="Times New Roman" w:hAnsi="Times New Roman" w:cs="Times New Roman"/>
          <w:color w:val="auto"/>
          <w:sz w:val="44"/>
          <w:szCs w:val="44"/>
          <w:highlight w:val="none"/>
          <w:lang w:eastAsia="zh-CN"/>
        </w:rPr>
      </w:pPr>
    </w:p>
    <w:p w14:paraId="4AA692CA">
      <w:pPr>
        <w:keepNext w:val="0"/>
        <w:keepLines w:val="0"/>
        <w:pageBreakBefore w:val="0"/>
        <w:widowControl w:val="0"/>
        <w:numPr>
          <w:ilvl w:val="0"/>
          <w:numId w:val="1"/>
        </w:numPr>
        <w:kinsoku/>
        <w:wordWrap/>
        <w:overflowPunct/>
        <w:topLinePunct w:val="0"/>
        <w:autoSpaceDE/>
        <w:autoSpaceDN/>
        <w:bidi w:val="0"/>
        <w:adjustRightInd/>
        <w:snapToGrid/>
        <w:spacing w:before="0" w:beforeLines="0" w:after="0" w:afterLines="0" w:line="610" w:lineRule="exact"/>
        <w:ind w:left="0" w:leftChars="0" w:right="0" w:rightChars="0"/>
        <w:jc w:val="center"/>
        <w:textAlignment w:val="auto"/>
        <w:outlineLvl w:val="9"/>
        <w:rPr>
          <w:rFonts w:hint="default" w:ascii="Times New Roman" w:hAnsi="Times New Roman" w:eastAsia="黑体" w:cs="Times New Roman"/>
          <w:color w:val="auto"/>
          <w:kern w:val="0"/>
          <w:sz w:val="32"/>
          <w:szCs w:val="32"/>
          <w:highlight w:val="none"/>
        </w:rPr>
      </w:pPr>
      <w:r>
        <w:rPr>
          <w:rFonts w:hint="default" w:ascii="Times New Roman" w:hAnsi="Times New Roman" w:eastAsia="黑体" w:cs="Times New Roman"/>
          <w:color w:val="auto"/>
          <w:kern w:val="0"/>
          <w:sz w:val="32"/>
          <w:szCs w:val="32"/>
          <w:highlight w:val="none"/>
        </w:rPr>
        <w:t>总　则</w:t>
      </w:r>
    </w:p>
    <w:p w14:paraId="6C0ACC58">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kern w:val="0"/>
          <w:sz w:val="32"/>
          <w:szCs w:val="32"/>
          <w:highlight w:val="none"/>
        </w:rPr>
        <w:t>第一条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为规范和加强市直行政事业单位国有资产</w:t>
      </w:r>
      <w:r>
        <w:rPr>
          <w:rFonts w:hint="default" w:ascii="Times New Roman" w:hAnsi="Times New Roman" w:eastAsia="仿宋_GB2312" w:cs="Times New Roman"/>
          <w:b w:val="0"/>
          <w:bCs w:val="0"/>
          <w:color w:val="auto"/>
          <w:sz w:val="32"/>
          <w:szCs w:val="32"/>
          <w:highlight w:val="none"/>
          <w:lang w:val="en-US" w:eastAsia="zh-CN"/>
        </w:rPr>
        <w:t>使用和资产处置行为，</w:t>
      </w:r>
      <w:r>
        <w:rPr>
          <w:rFonts w:hint="default" w:ascii="Times New Roman" w:hAnsi="Times New Roman" w:eastAsia="仿宋_GB2312" w:cs="Times New Roman"/>
          <w:b w:val="0"/>
          <w:bCs w:val="0"/>
          <w:color w:val="auto"/>
          <w:sz w:val="32"/>
          <w:szCs w:val="32"/>
          <w:highlight w:val="none"/>
          <w:lang w:eastAsia="zh-CN"/>
        </w:rPr>
        <w:t>维护国有资产的安全和完整，根据《行政事业性国有资产管理条例》（国务院令第</w:t>
      </w:r>
      <w:r>
        <w:rPr>
          <w:rFonts w:hint="default" w:ascii="Times New Roman" w:hAnsi="Times New Roman" w:eastAsia="仿宋_GB2312" w:cs="Times New Roman"/>
          <w:b w:val="0"/>
          <w:bCs w:val="0"/>
          <w:color w:val="auto"/>
          <w:sz w:val="32"/>
          <w:szCs w:val="32"/>
          <w:highlight w:val="none"/>
          <w:lang w:val="en-US" w:eastAsia="zh-CN"/>
        </w:rPr>
        <w:t>738号</w:t>
      </w:r>
      <w:r>
        <w:rPr>
          <w:rFonts w:hint="default" w:ascii="Times New Roman" w:hAnsi="Times New Roman" w:eastAsia="仿宋_GB2312" w:cs="Times New Roman"/>
          <w:b w:val="0"/>
          <w:bCs w:val="0"/>
          <w:color w:val="auto"/>
          <w:sz w:val="32"/>
          <w:szCs w:val="32"/>
          <w:highlight w:val="none"/>
          <w:lang w:eastAsia="zh-CN"/>
        </w:rPr>
        <w:t>）《湖北省行政事业性国有资产监督管理条例》《湖北省省级行政事业单位国有资产使用管理办法》《湖北省省级行政事业单位国有资产处置管理办法》</w:t>
      </w:r>
      <w:r>
        <w:rPr>
          <w:rFonts w:hint="default" w:ascii="Times New Roman" w:hAnsi="Times New Roman" w:eastAsia="仿宋_GB2312" w:cs="Times New Roman"/>
          <w:color w:val="auto"/>
          <w:kern w:val="0"/>
          <w:sz w:val="32"/>
          <w:szCs w:val="32"/>
          <w:highlight w:val="none"/>
        </w:rPr>
        <w:t>等有关规定</w:t>
      </w:r>
      <w:r>
        <w:rPr>
          <w:rFonts w:hint="default" w:ascii="Times New Roman" w:hAnsi="Times New Roman" w:eastAsia="仿宋_GB2312" w:cs="Times New Roman"/>
          <w:color w:val="auto"/>
          <w:kern w:val="0"/>
          <w:sz w:val="32"/>
          <w:szCs w:val="32"/>
          <w:highlight w:val="none"/>
          <w:lang w:eastAsia="zh-CN"/>
        </w:rPr>
        <w:t>，结合咸宁市本级实际，</w:t>
      </w:r>
      <w:r>
        <w:rPr>
          <w:rFonts w:hint="default" w:ascii="Times New Roman" w:hAnsi="Times New Roman" w:eastAsia="仿宋_GB2312" w:cs="Times New Roman"/>
          <w:color w:val="auto"/>
          <w:kern w:val="0"/>
          <w:sz w:val="32"/>
          <w:szCs w:val="32"/>
          <w:highlight w:val="none"/>
        </w:rPr>
        <w:t>制定本办法。</w:t>
      </w:r>
    </w:p>
    <w:p w14:paraId="46033DA8">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b/>
          <w:bCs/>
          <w:color w:val="auto"/>
          <w:kern w:val="0"/>
          <w:sz w:val="32"/>
          <w:szCs w:val="32"/>
          <w:highlight w:val="none"/>
        </w:rPr>
        <w:t>第二条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lang w:eastAsia="zh-CN"/>
        </w:rPr>
        <w:t>本办法所称行政单位、事业单位包括</w:t>
      </w:r>
      <w:r>
        <w:rPr>
          <w:rFonts w:hint="default" w:ascii="Times New Roman" w:hAnsi="Times New Roman" w:eastAsia="仿宋_GB2312" w:cs="Times New Roman"/>
          <w:color w:val="auto"/>
          <w:kern w:val="0"/>
          <w:sz w:val="32"/>
          <w:szCs w:val="32"/>
          <w:highlight w:val="none"/>
          <w:lang w:val="en-US" w:eastAsia="zh-CN"/>
        </w:rPr>
        <w:t>市直</w:t>
      </w:r>
      <w:r>
        <w:rPr>
          <w:rFonts w:hint="default" w:ascii="Times New Roman" w:hAnsi="Times New Roman" w:eastAsia="仿宋_GB2312" w:cs="Times New Roman"/>
          <w:color w:val="auto"/>
          <w:kern w:val="0"/>
          <w:sz w:val="32"/>
          <w:szCs w:val="32"/>
          <w:highlight w:val="none"/>
          <w:lang w:eastAsia="zh-CN"/>
        </w:rPr>
        <w:t>党的机关、人大机关、行政机关、政协机关、监察机关</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lang w:eastAsia="zh-CN"/>
        </w:rPr>
        <w:t>各民主党派机关、群团机关以及各类执行政府会计准则制度的事业单位。</w:t>
      </w:r>
    </w:p>
    <w:p w14:paraId="35FBBCF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b/>
          <w:bCs/>
          <w:color w:val="auto"/>
          <w:kern w:val="0"/>
          <w:sz w:val="32"/>
          <w:szCs w:val="32"/>
          <w:highlight w:val="none"/>
        </w:rPr>
        <w:t>第三条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lang w:val="en-US" w:eastAsia="zh-CN"/>
        </w:rPr>
        <w:t>本办法所称</w:t>
      </w:r>
      <w:r>
        <w:rPr>
          <w:rFonts w:hint="default" w:ascii="Times New Roman" w:hAnsi="Times New Roman" w:eastAsia="仿宋_GB2312" w:cs="Times New Roman"/>
          <w:color w:val="auto"/>
          <w:kern w:val="0"/>
          <w:sz w:val="32"/>
          <w:szCs w:val="32"/>
          <w:highlight w:val="none"/>
          <w:lang w:eastAsia="zh-CN"/>
        </w:rPr>
        <w:t>的国有资产使用包括自用、出租出借、对外投资等。</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val="0"/>
          <w:color w:val="auto"/>
          <w:spacing w:val="0"/>
          <w:sz w:val="32"/>
          <w:szCs w:val="32"/>
          <w:highlight w:val="none"/>
          <w:u w:val="none"/>
          <w:lang w:eastAsia="zh-CN"/>
        </w:rPr>
        <w:t>行政事业单位国有资产应当首先用于本单位履行职能和保障事业发展、提供公共服务。</w:t>
      </w:r>
    </w:p>
    <w:p w14:paraId="2BA82DB2">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eastAsia="zh-CN"/>
        </w:rPr>
        <w:t>本办法所称的</w:t>
      </w:r>
      <w:r>
        <w:rPr>
          <w:rFonts w:hint="default" w:ascii="Times New Roman" w:hAnsi="Times New Roman" w:eastAsia="仿宋_GB2312" w:cs="Times New Roman"/>
          <w:color w:val="auto"/>
          <w:kern w:val="0"/>
          <w:sz w:val="32"/>
          <w:szCs w:val="32"/>
          <w:highlight w:val="none"/>
        </w:rPr>
        <w:t>资产处置，是指</w:t>
      </w:r>
      <w:r>
        <w:rPr>
          <w:rFonts w:hint="default" w:ascii="Times New Roman" w:hAnsi="Times New Roman" w:eastAsia="仿宋_GB2312" w:cs="Times New Roman"/>
          <w:color w:val="auto"/>
          <w:kern w:val="0"/>
          <w:sz w:val="32"/>
          <w:szCs w:val="32"/>
          <w:highlight w:val="none"/>
          <w:lang w:eastAsia="zh-CN"/>
        </w:rPr>
        <w:t>市直</w:t>
      </w:r>
      <w:r>
        <w:rPr>
          <w:rFonts w:hint="default" w:ascii="Times New Roman" w:hAnsi="Times New Roman" w:eastAsia="仿宋_GB2312" w:cs="Times New Roman"/>
          <w:color w:val="auto"/>
          <w:kern w:val="0"/>
          <w:sz w:val="32"/>
          <w:szCs w:val="32"/>
          <w:highlight w:val="none"/>
        </w:rPr>
        <w:t>行政事业单位对其占有、使用的资产，进行产权</w:t>
      </w:r>
      <w:r>
        <w:rPr>
          <w:rFonts w:hint="default" w:ascii="Times New Roman" w:hAnsi="Times New Roman" w:eastAsia="仿宋_GB2312" w:cs="Times New Roman"/>
          <w:color w:val="auto"/>
          <w:kern w:val="0"/>
          <w:sz w:val="32"/>
          <w:szCs w:val="32"/>
          <w:highlight w:val="none"/>
          <w:lang w:eastAsia="zh-CN"/>
        </w:rPr>
        <w:t>转移</w:t>
      </w:r>
      <w:r>
        <w:rPr>
          <w:rFonts w:hint="default" w:ascii="Times New Roman" w:hAnsi="Times New Roman" w:eastAsia="仿宋_GB2312" w:cs="Times New Roman"/>
          <w:b w:val="0"/>
          <w:bCs w:val="0"/>
          <w:color w:val="auto"/>
          <w:spacing w:val="0"/>
          <w:sz w:val="32"/>
          <w:szCs w:val="32"/>
          <w:highlight w:val="none"/>
          <w:u w:val="none"/>
          <w:lang w:val="en-US" w:eastAsia="zh-CN"/>
        </w:rPr>
        <w:t>或核销、注销</w:t>
      </w:r>
      <w:r>
        <w:rPr>
          <w:rFonts w:hint="default" w:ascii="Times New Roman" w:hAnsi="Times New Roman" w:eastAsia="仿宋_GB2312" w:cs="Times New Roman"/>
          <w:color w:val="auto"/>
          <w:kern w:val="0"/>
          <w:sz w:val="32"/>
          <w:szCs w:val="32"/>
          <w:highlight w:val="none"/>
        </w:rPr>
        <w:t>的行为。处置方式包括无偿划转、对外捐赠、转让、置换、报废、</w:t>
      </w:r>
      <w:r>
        <w:rPr>
          <w:rFonts w:hint="default" w:ascii="Times New Roman" w:hAnsi="Times New Roman" w:eastAsia="仿宋_GB2312" w:cs="Times New Roman"/>
          <w:color w:val="auto"/>
          <w:kern w:val="0"/>
          <w:sz w:val="32"/>
          <w:szCs w:val="32"/>
          <w:highlight w:val="none"/>
          <w:lang w:eastAsia="zh-CN"/>
        </w:rPr>
        <w:t>损失核销</w:t>
      </w:r>
      <w:r>
        <w:rPr>
          <w:rFonts w:hint="default" w:ascii="Times New Roman" w:hAnsi="Times New Roman" w:eastAsia="仿宋_GB2312" w:cs="Times New Roman"/>
          <w:color w:val="auto"/>
          <w:kern w:val="0"/>
          <w:sz w:val="32"/>
          <w:szCs w:val="32"/>
          <w:highlight w:val="none"/>
        </w:rPr>
        <w:t>等。</w:t>
      </w:r>
    </w:p>
    <w:p w14:paraId="1613804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u w:val="none"/>
          <w:lang w:eastAsia="zh-CN"/>
        </w:rPr>
      </w:pPr>
      <w:r>
        <w:rPr>
          <w:rFonts w:hint="default" w:ascii="Times New Roman" w:hAnsi="Times New Roman" w:eastAsia="仿宋_GB2312" w:cs="Times New Roman"/>
          <w:b/>
          <w:bCs/>
          <w:color w:val="auto"/>
          <w:kern w:val="0"/>
          <w:sz w:val="32"/>
          <w:szCs w:val="32"/>
          <w:highlight w:val="none"/>
          <w:lang w:val="en-US" w:eastAsia="zh-CN"/>
        </w:rPr>
        <w:t>第四条</w:t>
      </w:r>
      <w:r>
        <w:rPr>
          <w:rFonts w:hint="default" w:ascii="Times New Roman" w:hAnsi="Times New Roman" w:eastAsia="仿宋_GB2312" w:cs="Times New Roman"/>
          <w:color w:val="auto"/>
          <w:kern w:val="0"/>
          <w:sz w:val="32"/>
          <w:szCs w:val="32"/>
          <w:highlight w:val="none"/>
          <w:lang w:val="en-US" w:eastAsia="zh-CN" w:bidi="ar-SA"/>
        </w:rPr>
        <w:t xml:space="preserve"> 市直行政事业单位应当遵循安全规范、节约高效、物尽其用、公开透明、权责一致的原则，严格执行国有资产使用管理的规定，加强国有资产使用管理。</w:t>
      </w:r>
    </w:p>
    <w:p w14:paraId="26B6000B">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市直行政事业单位国有资产处置应当遵循公开、公正、公平和竞争择优的原则，按照规定权限履行审批手续，未经批准不得擅自处置。</w:t>
      </w:r>
    </w:p>
    <w:p w14:paraId="22B0B040">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b/>
          <w:bCs/>
          <w:color w:val="auto"/>
          <w:kern w:val="0"/>
          <w:sz w:val="32"/>
          <w:szCs w:val="32"/>
          <w:highlight w:val="none"/>
          <w:lang w:val="en-US" w:eastAsia="zh-CN" w:bidi="ar-SA"/>
        </w:rPr>
        <w:t>第五条</w:t>
      </w:r>
      <w:r>
        <w:rPr>
          <w:rFonts w:hint="default" w:ascii="Times New Roman" w:hAnsi="Times New Roman" w:eastAsia="仿宋_GB2312" w:cs="Times New Roman"/>
          <w:color w:val="auto"/>
          <w:kern w:val="0"/>
          <w:sz w:val="32"/>
          <w:szCs w:val="32"/>
          <w:highlight w:val="none"/>
          <w:lang w:val="en-US" w:eastAsia="zh-CN" w:bidi="ar-SA"/>
        </w:rPr>
        <w:t xml:space="preserve"> 市直行政事业单位应当建立国有资产使用管理制度，明确管理责任，规范使用流程，加强产权保护，提高使用效益。</w:t>
      </w:r>
    </w:p>
    <w:p w14:paraId="5353D1BC">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u w:val="none"/>
          <w:lang w:val="en-US" w:eastAsia="zh-CN"/>
        </w:rPr>
      </w:pPr>
      <w:r>
        <w:rPr>
          <w:rFonts w:hint="default" w:ascii="Times New Roman" w:hAnsi="Times New Roman" w:eastAsia="仿宋_GB2312" w:cs="Times New Roman"/>
          <w:b w:val="0"/>
          <w:bCs w:val="0"/>
          <w:color w:val="auto"/>
          <w:spacing w:val="0"/>
          <w:sz w:val="32"/>
          <w:szCs w:val="32"/>
          <w:highlight w:val="none"/>
          <w:u w:val="none"/>
          <w:lang w:eastAsia="zh-CN"/>
        </w:rPr>
        <w:t>市直行政事业单位应当落实对占有、使用国有资产的管理主体责任，建立和完善国有资产内部控制管理制度，明确岗位职责，规范完善使用、处置流程，规范处置行为，定期组织资产清查盘点，并充分利用预算管理一体化资产管理系统开展日常资产管理工作，及时准确反映</w:t>
      </w:r>
      <w:r>
        <w:rPr>
          <w:rFonts w:hint="default" w:ascii="Times New Roman" w:hAnsi="Times New Roman" w:eastAsia="仿宋_GB2312" w:cs="Times New Roman"/>
          <w:b w:val="0"/>
          <w:bCs w:val="0"/>
          <w:color w:val="auto"/>
          <w:spacing w:val="0"/>
          <w:sz w:val="32"/>
          <w:szCs w:val="32"/>
          <w:highlight w:val="none"/>
          <w:u w:val="none"/>
          <w:lang w:val="en-US" w:eastAsia="zh-CN"/>
        </w:rPr>
        <w:t>资产使用状态、</w:t>
      </w:r>
      <w:r>
        <w:rPr>
          <w:rFonts w:hint="default" w:ascii="Times New Roman" w:hAnsi="Times New Roman" w:eastAsia="仿宋_GB2312" w:cs="Times New Roman"/>
          <w:b w:val="0"/>
          <w:bCs w:val="0"/>
          <w:color w:val="auto"/>
          <w:spacing w:val="0"/>
          <w:sz w:val="32"/>
          <w:szCs w:val="32"/>
          <w:highlight w:val="none"/>
          <w:u w:val="none"/>
          <w:lang w:eastAsia="zh-CN"/>
        </w:rPr>
        <w:t>增减变动情况和处置收入情况。</w:t>
      </w:r>
    </w:p>
    <w:p w14:paraId="273079C9">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u w:val="none"/>
          <w:lang w:eastAsia="zh-CN"/>
        </w:rPr>
      </w:pPr>
      <w:r>
        <w:rPr>
          <w:rFonts w:hint="default" w:ascii="Times New Roman" w:hAnsi="Times New Roman" w:eastAsia="仿宋_GB2312" w:cs="Times New Roman"/>
          <w:b/>
          <w:bCs/>
          <w:color w:val="auto"/>
          <w:kern w:val="0"/>
          <w:sz w:val="32"/>
          <w:szCs w:val="32"/>
          <w:highlight w:val="none"/>
          <w:lang w:val="en-US" w:eastAsia="zh-CN" w:bidi="ar-SA"/>
        </w:rPr>
        <w:t>第六条</w:t>
      </w:r>
      <w:r>
        <w:rPr>
          <w:rFonts w:hint="default" w:ascii="Times New Roman" w:hAnsi="Times New Roman" w:eastAsia="仿宋_GB2312" w:cs="Times New Roman"/>
          <w:b w:val="0"/>
          <w:bCs w:val="0"/>
          <w:color w:val="auto"/>
          <w:spacing w:val="0"/>
          <w:sz w:val="32"/>
          <w:szCs w:val="32"/>
          <w:highlight w:val="none"/>
          <w:u w:val="none"/>
          <w:lang w:val="en-US" w:eastAsia="zh-CN"/>
        </w:rPr>
        <w:t xml:space="preserve"> 市直行政事业单位</w:t>
      </w:r>
      <w:r>
        <w:rPr>
          <w:rFonts w:hint="default" w:ascii="Times New Roman" w:hAnsi="Times New Roman" w:eastAsia="仿宋_GB2312" w:cs="Times New Roman"/>
          <w:b w:val="0"/>
          <w:bCs w:val="0"/>
          <w:color w:val="auto"/>
          <w:spacing w:val="0"/>
          <w:sz w:val="32"/>
          <w:szCs w:val="32"/>
          <w:highlight w:val="none"/>
          <w:u w:val="none"/>
          <w:lang w:eastAsia="zh-CN"/>
        </w:rPr>
        <w:t>拟使用、处置的资产应当产权清晰，权属关系不明或存在权属纠纷的资产，需待权属界定明确后施行。</w:t>
      </w:r>
    </w:p>
    <w:p w14:paraId="09D8C950">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pacing w:val="0"/>
          <w:sz w:val="32"/>
          <w:szCs w:val="32"/>
          <w:highlight w:val="none"/>
          <w:u w:val="none"/>
          <w:lang w:eastAsia="zh-CN"/>
        </w:rPr>
      </w:pPr>
      <w:r>
        <w:rPr>
          <w:rFonts w:hint="default" w:ascii="Times New Roman" w:hAnsi="Times New Roman" w:eastAsia="仿宋_GB2312" w:cs="Times New Roman"/>
          <w:b w:val="0"/>
          <w:bCs w:val="0"/>
          <w:color w:val="auto"/>
          <w:spacing w:val="0"/>
          <w:sz w:val="32"/>
          <w:szCs w:val="32"/>
          <w:highlight w:val="none"/>
          <w:u w:val="none"/>
          <w:lang w:eastAsia="zh-CN"/>
        </w:rPr>
        <w:t>被设置为担保物的国有资产处置，应当符合《中华人民共和国民法典》等法律的有关规定。</w:t>
      </w:r>
    </w:p>
    <w:p w14:paraId="472F3FA8">
      <w:pPr>
        <w:pStyle w:val="2"/>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textAlignment w:val="auto"/>
        <w:outlineLvl w:val="9"/>
        <w:rPr>
          <w:rFonts w:hint="default" w:ascii="Times New Roman" w:hAnsi="Times New Roman" w:cs="Times New Roman"/>
          <w:color w:val="auto"/>
          <w:highlight w:val="none"/>
          <w:lang w:eastAsia="zh-CN"/>
        </w:rPr>
      </w:pPr>
    </w:p>
    <w:p w14:paraId="7D7C03E3">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 xml:space="preserve">第二章 </w:t>
      </w:r>
      <w:r>
        <w:rPr>
          <w:rFonts w:hint="default" w:ascii="Times New Roman" w:hAnsi="Times New Roman" w:eastAsia="黑体" w:cs="Times New Roman"/>
          <w:color w:val="auto"/>
          <w:sz w:val="32"/>
          <w:szCs w:val="32"/>
          <w:highlight w:val="none"/>
          <w:lang w:val="en-US" w:eastAsia="zh-CN"/>
        </w:rPr>
        <w:t>管理机构及职责</w:t>
      </w:r>
    </w:p>
    <w:p w14:paraId="5D4D28B2">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0"/>
          <w:sz w:val="32"/>
          <w:szCs w:val="32"/>
          <w:highlight w:val="none"/>
          <w:lang w:val="en-US" w:eastAsia="zh-CN" w:bidi="ar-SA"/>
        </w:rPr>
        <w:t>第七条</w:t>
      </w:r>
      <w:r>
        <w:rPr>
          <w:rFonts w:hint="default" w:ascii="Times New Roman" w:hAnsi="Times New Roman" w:eastAsia="仿宋_GB2312" w:cs="Times New Roman"/>
          <w:color w:val="auto"/>
          <w:kern w:val="0"/>
          <w:sz w:val="32"/>
          <w:szCs w:val="32"/>
          <w:highlight w:val="none"/>
          <w:lang w:val="en-US" w:eastAsia="zh-CN" w:bidi="ar-SA"/>
        </w:rPr>
        <w:t xml:space="preserve"> </w:t>
      </w:r>
      <w:r>
        <w:rPr>
          <w:rFonts w:hint="default" w:ascii="Times New Roman" w:hAnsi="Times New Roman" w:eastAsia="仿宋_GB2312" w:cs="Times New Roman"/>
          <w:color w:val="auto"/>
          <w:kern w:val="2"/>
          <w:sz w:val="32"/>
          <w:szCs w:val="32"/>
          <w:highlight w:val="none"/>
          <w:lang w:val="en-US" w:eastAsia="zh-CN" w:bidi="ar-SA"/>
        </w:rPr>
        <w:t>市财政局负责对市直行政事业单位资产使用、处置事项实施综合管理，其主要职责是：</w:t>
      </w:r>
    </w:p>
    <w:p w14:paraId="53DFE5D8">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（一）根据上级财政部门有关资产使用、处置管理的规定，制定资产使用、处置管理制度并组织实施；</w:t>
      </w:r>
    </w:p>
    <w:p w14:paraId="6E9813F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（二）按照规定权限对市直行政事业单位资产使用、处置事项进行审批（备案）；</w:t>
      </w:r>
    </w:p>
    <w:p w14:paraId="399659D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（三）对市直行政事业单位资产使用、处置实施监督等。</w:t>
      </w:r>
    </w:p>
    <w:p w14:paraId="529C3AE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第八条</w:t>
      </w:r>
      <w:r>
        <w:rPr>
          <w:rFonts w:hint="default" w:ascii="Times New Roman" w:hAnsi="Times New Roman" w:eastAsia="仿宋_GB2312" w:cs="Times New Roman"/>
          <w:color w:val="auto"/>
          <w:kern w:val="2"/>
          <w:sz w:val="32"/>
          <w:szCs w:val="32"/>
          <w:highlight w:val="none"/>
          <w:lang w:val="en-US" w:eastAsia="zh-CN" w:bidi="ar-SA"/>
        </w:rPr>
        <w:t xml:space="preserve"> 市机关事务服务中心根据规定的权限负责市直行政事业单位办公用房、公务用车的使用、处置管理</w:t>
      </w:r>
      <w:r>
        <w:rPr>
          <w:rFonts w:hint="eastAsia" w:ascii="Times New Roman" w:hAnsi="Times New Roman" w:eastAsia="仿宋_GB2312" w:cs="Times New Roman"/>
          <w:color w:val="auto"/>
          <w:kern w:val="2"/>
          <w:sz w:val="32"/>
          <w:szCs w:val="32"/>
          <w:highlight w:val="none"/>
          <w:lang w:val="en" w:eastAsia="zh-CN" w:bidi="ar-SA"/>
        </w:rPr>
        <w:t>，</w:t>
      </w:r>
      <w:r>
        <w:rPr>
          <w:rFonts w:hint="default" w:ascii="Times New Roman" w:hAnsi="Times New Roman" w:eastAsia="仿宋_GB2312" w:cs="Times New Roman"/>
          <w:color w:val="auto"/>
          <w:kern w:val="2"/>
          <w:sz w:val="32"/>
          <w:szCs w:val="32"/>
          <w:highlight w:val="none"/>
          <w:lang w:val="en-US" w:eastAsia="zh-CN" w:bidi="ar-SA"/>
        </w:rPr>
        <w:t>其主要职责是：</w:t>
      </w:r>
    </w:p>
    <w:p w14:paraId="7A13E083">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（一）制定办公用房、公务用车管理制度并组织实施；</w:t>
      </w:r>
    </w:p>
    <w:p w14:paraId="262AAE4C">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（二）按职责审核办公用房和公务用车使用、处置事项；</w:t>
      </w:r>
    </w:p>
    <w:p w14:paraId="5208B82F">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（三）对市直行政事业单位办公用房和公务用车的使用、处置实施监督；</w:t>
      </w:r>
    </w:p>
    <w:p w14:paraId="4B209691">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（四）接受市财政局的指导和监督检查。</w:t>
      </w:r>
    </w:p>
    <w:p w14:paraId="29F9F21C">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第九条</w:t>
      </w:r>
      <w:r>
        <w:rPr>
          <w:rFonts w:hint="default" w:ascii="Times New Roman" w:hAnsi="Times New Roman" w:eastAsia="仿宋_GB2312" w:cs="Times New Roman"/>
          <w:color w:val="auto"/>
          <w:kern w:val="2"/>
          <w:sz w:val="32"/>
          <w:szCs w:val="32"/>
          <w:highlight w:val="none"/>
          <w:lang w:val="en-US" w:eastAsia="zh-CN" w:bidi="ar-SA"/>
        </w:rPr>
        <w:t xml:space="preserve"> 市直行政事业单位主管部门（以下简称主管部门）负责对本部门单位的资产使用、处置事项实施监督管理，其主要职责是：</w:t>
      </w:r>
    </w:p>
    <w:p w14:paraId="7BA8CC59">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（一）制定本部门资产使用、处置管理制度并组织实施；</w:t>
      </w:r>
    </w:p>
    <w:p w14:paraId="0E197680">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（二）按照规定权限对本部门及所属市直行政事业单位资产使用、处置事项进行审核（批）或备案；</w:t>
      </w:r>
    </w:p>
    <w:p w14:paraId="6B7E36B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（三）督促本部门及所属市直行政事业单位按规定上缴资产使用、处置收入；</w:t>
      </w:r>
    </w:p>
    <w:p w14:paraId="50D127F3">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（四）对本部门及所属单位资产使用、处置事项实施监督管理；</w:t>
      </w:r>
    </w:p>
    <w:p w14:paraId="08FB3F04">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（五）接受市财政局、市</w:t>
      </w:r>
      <w:r>
        <w:rPr>
          <w:rFonts w:hint="eastAsia" w:ascii="Times New Roman" w:hAnsi="Times New Roman" w:eastAsia="仿宋_GB2312" w:cs="Times New Roman"/>
          <w:color w:val="auto"/>
          <w:kern w:val="2"/>
          <w:sz w:val="32"/>
          <w:szCs w:val="32"/>
          <w:highlight w:val="none"/>
          <w:lang w:val="en-US" w:eastAsia="zh-CN" w:bidi="ar-SA"/>
        </w:rPr>
        <w:t>机关事务服务中心</w:t>
      </w:r>
      <w:r>
        <w:rPr>
          <w:rFonts w:hint="default" w:ascii="Times New Roman" w:hAnsi="Times New Roman" w:eastAsia="仿宋_GB2312" w:cs="Times New Roman"/>
          <w:color w:val="auto"/>
          <w:kern w:val="2"/>
          <w:sz w:val="32"/>
          <w:szCs w:val="32"/>
          <w:highlight w:val="none"/>
          <w:lang w:val="en-US" w:eastAsia="zh-CN" w:bidi="ar-SA"/>
        </w:rPr>
        <w:t>对本部门资产使用、处置事项的指导和监督等。</w:t>
      </w:r>
    </w:p>
    <w:p w14:paraId="2CD7C449">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第十条</w:t>
      </w:r>
      <w:r>
        <w:rPr>
          <w:rFonts w:hint="default" w:ascii="Times New Roman" w:hAnsi="Times New Roman" w:eastAsia="仿宋_GB2312" w:cs="Times New Roman"/>
          <w:color w:val="auto"/>
          <w:kern w:val="2"/>
          <w:sz w:val="32"/>
          <w:szCs w:val="32"/>
          <w:highlight w:val="none"/>
          <w:lang w:val="en-US" w:eastAsia="zh-CN" w:bidi="ar-SA"/>
        </w:rPr>
        <w:t xml:space="preserve"> 市直行政事业单位负责对本单位占有、使用的资产使用、处置实施具体管理，其主要职责是：</w:t>
      </w:r>
    </w:p>
    <w:p w14:paraId="04F3B5FE">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（一）根据市直行政事业单位资产使用、处置管理的有关规定，制定本单位资产使用、处置管理的具体办法并组织实施；</w:t>
      </w:r>
    </w:p>
    <w:p w14:paraId="256EF48E">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（二）负责办理相关资产使用、处置事项的报批手续；</w:t>
      </w:r>
    </w:p>
    <w:p w14:paraId="5F83D60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（三）负责做好本单位与资产使用相关的日常管理和处置事项的监督管理工作；</w:t>
      </w:r>
    </w:p>
    <w:p w14:paraId="4EBA28B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（四）按规定及时将资产使用、处置收入上缴国库；</w:t>
      </w:r>
    </w:p>
    <w:p w14:paraId="382582A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（五）接受市财政局、市机关事务服务中心和主管部门对资产使用、处置工作的指导和监督等。</w:t>
      </w:r>
    </w:p>
    <w:p w14:paraId="19BDB72A">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第十一条</w:t>
      </w:r>
      <w:r>
        <w:rPr>
          <w:rFonts w:hint="default" w:ascii="Times New Roman" w:hAnsi="Times New Roman" w:eastAsia="仿宋_GB2312" w:cs="Times New Roman"/>
          <w:color w:val="auto"/>
          <w:kern w:val="2"/>
          <w:sz w:val="32"/>
          <w:szCs w:val="32"/>
          <w:highlight w:val="none"/>
          <w:lang w:val="en-US" w:eastAsia="zh-CN" w:bidi="ar-SA"/>
        </w:rPr>
        <w:t xml:space="preserve"> 市直行政事业单位之间发生资产纠纷的，由当事双方协商解决。协商不能解决的，由市财政局、市机关事务服务中心按照职能职责进行调解，调解无法达成一致的，由申诉方主管部门报市人民政府处理。</w:t>
      </w:r>
    </w:p>
    <w:p w14:paraId="7546F40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市直行政事业单位与其他单位或个人之间发生资产纠纷的，当事双方可以协商解决，协商解决方案经市机关事务服务中心或主管部门按权限审核同意后，报市财政局备案，由当事双方签署和解协议。不能协商解决的，应当依照司法程序处理。</w:t>
      </w:r>
    </w:p>
    <w:p w14:paraId="084C3460">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Times New Roman" w:hAnsi="Times New Roman" w:eastAsia="黑体" w:cs="Times New Roman"/>
          <w:b w:val="0"/>
          <w:bCs/>
          <w:color w:val="auto"/>
          <w:sz w:val="32"/>
          <w:szCs w:val="32"/>
          <w:highlight w:val="none"/>
          <w:lang w:val="en-US" w:eastAsia="zh-CN"/>
        </w:rPr>
      </w:pPr>
    </w:p>
    <w:p w14:paraId="0B0D985E">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Times New Roman" w:hAnsi="Times New Roman" w:eastAsia="仿宋_GB2312" w:cs="Times New Roman"/>
          <w:b/>
          <w:bCs w:val="0"/>
          <w:color w:val="auto"/>
          <w:kern w:val="2"/>
          <w:sz w:val="32"/>
          <w:szCs w:val="32"/>
          <w:highlight w:val="none"/>
          <w:lang w:val="en-US" w:eastAsia="zh-CN" w:bidi="ar-SA"/>
        </w:rPr>
      </w:pPr>
      <w:r>
        <w:rPr>
          <w:rFonts w:hint="eastAsia" w:ascii="Times New Roman" w:hAnsi="Times New Roman" w:eastAsia="黑体" w:cs="Times New Roman"/>
          <w:b w:val="0"/>
          <w:bCs/>
          <w:color w:val="auto"/>
          <w:sz w:val="32"/>
          <w:szCs w:val="32"/>
          <w:highlight w:val="none"/>
          <w:lang w:val="en-US" w:eastAsia="zh-CN"/>
        </w:rPr>
        <w:t xml:space="preserve">第三章 </w:t>
      </w:r>
      <w:r>
        <w:rPr>
          <w:rFonts w:hint="default" w:ascii="Times New Roman" w:hAnsi="Times New Roman" w:eastAsia="黑体" w:cs="Times New Roman"/>
          <w:b w:val="0"/>
          <w:bCs/>
          <w:color w:val="auto"/>
          <w:sz w:val="32"/>
          <w:szCs w:val="32"/>
          <w:highlight w:val="none"/>
          <w:lang w:val="en-US" w:eastAsia="zh-CN"/>
        </w:rPr>
        <w:t>资产使用</w:t>
      </w:r>
    </w:p>
    <w:p w14:paraId="3253B88C">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Times New Roman" w:hAnsi="Times New Roman" w:eastAsia="仿宋_GB2312" w:cs="Times New Roman"/>
          <w:b/>
          <w:bCs w:val="0"/>
          <w:color w:val="auto"/>
          <w:kern w:val="2"/>
          <w:sz w:val="32"/>
          <w:szCs w:val="32"/>
          <w:highlight w:val="none"/>
          <w:lang w:val="en-US" w:eastAsia="zh-CN" w:bidi="ar-SA"/>
        </w:rPr>
      </w:pPr>
      <w:r>
        <w:rPr>
          <w:rFonts w:hint="default" w:ascii="Times New Roman" w:hAnsi="Times New Roman" w:eastAsia="仿宋_GB2312" w:cs="Times New Roman"/>
          <w:b/>
          <w:bCs w:val="0"/>
          <w:color w:val="auto"/>
          <w:kern w:val="2"/>
          <w:sz w:val="32"/>
          <w:szCs w:val="32"/>
          <w:highlight w:val="none"/>
          <w:lang w:val="en-US" w:eastAsia="zh-CN" w:bidi="ar-SA"/>
        </w:rPr>
        <w:t>第一节 基础管理</w:t>
      </w:r>
    </w:p>
    <w:p w14:paraId="09A541DB">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val="en-US"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eastAsia="zh-CN"/>
        </w:rPr>
        <w:t>十二</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bCs w:val="0"/>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lang w:val="en-US" w:eastAsia="zh-CN"/>
        </w:rPr>
        <w:t>行政事业</w:t>
      </w:r>
      <w:r>
        <w:rPr>
          <w:rFonts w:hint="default" w:ascii="Times New Roman" w:hAnsi="Times New Roman" w:eastAsia="仿宋_GB2312" w:cs="Times New Roman"/>
          <w:b w:val="0"/>
          <w:bCs/>
          <w:color w:val="auto"/>
          <w:kern w:val="0"/>
          <w:sz w:val="32"/>
          <w:szCs w:val="32"/>
          <w:highlight w:val="none"/>
          <w:lang w:val="en-US" w:eastAsia="zh-CN"/>
        </w:rPr>
        <w:t>单位应当按照规定格式建立资产信息卡，填写资产基本信息、财务信息、特性信息等。对于权证手续不全、但长期占有使用并实际控制的国有资产，应当建立并登记资产信息卡。</w:t>
      </w:r>
    </w:p>
    <w:p w14:paraId="3309DB90">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val="en-US"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eastAsia="zh-CN"/>
        </w:rPr>
        <w:t>十三</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val="0"/>
          <w:bCs/>
          <w:color w:val="auto"/>
          <w:sz w:val="32"/>
          <w:szCs w:val="32"/>
          <w:highlight w:val="none"/>
          <w:lang w:val="en-US" w:eastAsia="zh-CN"/>
        </w:rPr>
        <w:t xml:space="preserve"> </w:t>
      </w:r>
      <w:r>
        <w:rPr>
          <w:rFonts w:hint="default" w:ascii="Times New Roman" w:hAnsi="Times New Roman" w:eastAsia="仿宋_GB2312" w:cs="Times New Roman"/>
          <w:b w:val="0"/>
          <w:color w:val="auto"/>
          <w:kern w:val="2"/>
          <w:sz w:val="32"/>
          <w:szCs w:val="32"/>
          <w:highlight w:val="none"/>
          <w:lang w:val="en-US" w:eastAsia="zh-CN" w:bidi="ar"/>
        </w:rPr>
        <w:t>市直</w:t>
      </w:r>
      <w:r>
        <w:rPr>
          <w:rFonts w:hint="default" w:ascii="Times New Roman" w:hAnsi="Times New Roman" w:eastAsia="仿宋_GB2312" w:cs="Times New Roman"/>
          <w:b w:val="0"/>
          <w:bCs/>
          <w:color w:val="auto"/>
          <w:sz w:val="32"/>
          <w:szCs w:val="32"/>
          <w:highlight w:val="none"/>
          <w:lang w:val="en-US" w:eastAsia="zh-CN"/>
        </w:rPr>
        <w:t>行政事业</w:t>
      </w:r>
      <w:r>
        <w:rPr>
          <w:rFonts w:hint="default" w:ascii="Times New Roman" w:hAnsi="Times New Roman" w:eastAsia="仿宋_GB2312" w:cs="Times New Roman"/>
          <w:b w:val="0"/>
          <w:bCs/>
          <w:color w:val="auto"/>
          <w:kern w:val="0"/>
          <w:sz w:val="32"/>
          <w:szCs w:val="32"/>
          <w:highlight w:val="none"/>
          <w:lang w:val="en-US" w:eastAsia="zh-CN"/>
        </w:rPr>
        <w:t>单位应当严格依照国家统一的会计制度进行会计核算，不得形成账外资产。</w:t>
      </w:r>
    </w:p>
    <w:p w14:paraId="23545D0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val="en-US" w:eastAsia="zh-CN"/>
        </w:rPr>
      </w:pPr>
      <w:r>
        <w:rPr>
          <w:rFonts w:hint="default" w:ascii="Times New Roman" w:hAnsi="Times New Roman" w:eastAsia="仿宋_GB2312" w:cs="Times New Roman"/>
          <w:b w:val="0"/>
          <w:bCs/>
          <w:color w:val="auto"/>
          <w:kern w:val="0"/>
          <w:sz w:val="32"/>
          <w:szCs w:val="32"/>
          <w:highlight w:val="none"/>
          <w:lang w:val="en-US" w:eastAsia="zh-CN"/>
        </w:rPr>
        <w:t>建设项目竣工验收合格后，应当及时办理资产交付手续，并在规定期限内办理竣工财务决算，期限最长不得超过1年。对已交付使用但未办理竣工财务决算的在建工程，应当按规定及时以暂估价值转入固定资产、公共基础设施等。</w:t>
      </w:r>
    </w:p>
    <w:p w14:paraId="5E7DC35B">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val="en-US" w:eastAsia="zh-CN" w:bidi="ar-SA"/>
        </w:rPr>
      </w:pPr>
      <w:r>
        <w:rPr>
          <w:rFonts w:hint="default" w:ascii="Times New Roman" w:hAnsi="Times New Roman" w:eastAsia="仿宋_GB2312" w:cs="Times New Roman"/>
          <w:b/>
          <w:bCs w:val="0"/>
          <w:color w:val="auto"/>
          <w:kern w:val="0"/>
          <w:sz w:val="32"/>
          <w:szCs w:val="32"/>
          <w:highlight w:val="none"/>
          <w:lang w:val="en-US" w:eastAsia="zh-CN" w:bidi="ar-SA"/>
        </w:rPr>
        <w:t>第十四条</w:t>
      </w:r>
      <w:r>
        <w:rPr>
          <w:rFonts w:hint="default" w:ascii="Times New Roman" w:hAnsi="Times New Roman" w:eastAsia="仿宋_GB2312" w:cs="Times New Roman"/>
          <w:b w:val="0"/>
          <w:bCs/>
          <w:color w:val="auto"/>
          <w:kern w:val="0"/>
          <w:sz w:val="32"/>
          <w:szCs w:val="32"/>
          <w:highlight w:val="none"/>
          <w:lang w:val="en-US" w:eastAsia="zh-CN" w:bidi="ar-SA"/>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kern w:val="0"/>
          <w:sz w:val="32"/>
          <w:szCs w:val="32"/>
          <w:highlight w:val="none"/>
          <w:lang w:val="en-US" w:eastAsia="zh-CN" w:bidi="ar-SA"/>
        </w:rPr>
        <w:t>行政事业单位应当定期或者不定期对资产进行盘点、对账，每年至少盘点一次。出现资产盘盈盘亏的，应当按照财务、会计和国有资产管理有关制度规定及时处理，确保账实相符、账卡相符、账账相符。</w:t>
      </w:r>
    </w:p>
    <w:p w14:paraId="08BA0CA5">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Style w:val="29"/>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val="en-US" w:eastAsia="zh-CN"/>
        </w:rPr>
        <w:t>十五</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val="0"/>
          <w:bCs/>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lang w:val="en-US" w:eastAsia="zh-CN"/>
        </w:rPr>
        <w:t>行政事业</w:t>
      </w:r>
      <w:r>
        <w:rPr>
          <w:rFonts w:hint="default" w:ascii="Times New Roman" w:hAnsi="Times New Roman" w:eastAsia="仿宋_GB2312" w:cs="Times New Roman"/>
          <w:b w:val="0"/>
          <w:bCs/>
          <w:color w:val="auto"/>
          <w:kern w:val="0"/>
          <w:sz w:val="32"/>
          <w:szCs w:val="32"/>
          <w:highlight w:val="none"/>
          <w:lang w:val="en-US" w:eastAsia="zh-CN"/>
        </w:rPr>
        <w:t>单位应当加强国有资产产权管理，及时办理土地、房屋、车辆等资产权属登记，资产变动应办理变更登记，避免权属不清。涉及产权纠纷或</w:t>
      </w:r>
      <w:r>
        <w:rPr>
          <w:rFonts w:hint="default" w:ascii="Times New Roman" w:hAnsi="Times New Roman" w:eastAsia="仿宋_GB2312" w:cs="Times New Roman"/>
          <w:b w:val="0"/>
          <w:bCs/>
          <w:color w:val="auto"/>
          <w:kern w:val="0"/>
          <w:sz w:val="32"/>
          <w:szCs w:val="32"/>
          <w:highlight w:val="none"/>
          <w:u w:val="none"/>
          <w:lang w:val="en-US" w:eastAsia="zh-CN"/>
        </w:rPr>
        <w:t>产权</w:t>
      </w:r>
      <w:r>
        <w:rPr>
          <w:rFonts w:hint="default" w:ascii="Times New Roman" w:hAnsi="Times New Roman" w:eastAsia="仿宋_GB2312" w:cs="Times New Roman"/>
          <w:b w:val="0"/>
          <w:bCs/>
          <w:color w:val="auto"/>
          <w:kern w:val="0"/>
          <w:sz w:val="32"/>
          <w:szCs w:val="32"/>
          <w:highlight w:val="none"/>
          <w:lang w:val="en-US" w:eastAsia="zh-CN"/>
        </w:rPr>
        <w:t>不清晰的固定资产，应按照产权管理规定，</w:t>
      </w:r>
      <w:r>
        <w:rPr>
          <w:rFonts w:hint="default" w:ascii="Times New Roman" w:hAnsi="Times New Roman" w:eastAsia="仿宋_GB2312" w:cs="Times New Roman"/>
          <w:b w:val="0"/>
          <w:bCs/>
          <w:color w:val="auto"/>
          <w:kern w:val="0"/>
          <w:sz w:val="32"/>
          <w:szCs w:val="32"/>
          <w:highlight w:val="none"/>
          <w:u w:val="none"/>
          <w:lang w:val="en-US" w:eastAsia="zh-CN"/>
        </w:rPr>
        <w:t>及时</w:t>
      </w:r>
      <w:r>
        <w:rPr>
          <w:rFonts w:hint="default" w:ascii="Times New Roman" w:hAnsi="Times New Roman" w:eastAsia="仿宋_GB2312" w:cs="Times New Roman"/>
          <w:b w:val="0"/>
          <w:bCs/>
          <w:color w:val="auto"/>
          <w:kern w:val="0"/>
          <w:sz w:val="32"/>
          <w:szCs w:val="32"/>
          <w:highlight w:val="none"/>
          <w:lang w:val="en-US" w:eastAsia="zh-CN"/>
        </w:rPr>
        <w:t>厘清产权关系。</w:t>
      </w:r>
    </w:p>
    <w:p w14:paraId="2673A322">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 xml:space="preserve">第十六条 </w:t>
      </w:r>
      <w:r>
        <w:rPr>
          <w:rFonts w:hint="default" w:ascii="Times New Roman" w:hAnsi="Times New Roman" w:eastAsia="仿宋_GB2312" w:cs="Times New Roman"/>
          <w:b w:val="0"/>
          <w:bCs w:val="0"/>
          <w:color w:val="auto"/>
          <w:sz w:val="32"/>
          <w:szCs w:val="32"/>
          <w:highlight w:val="none"/>
          <w:u w:val="none"/>
          <w:lang w:val="en-US" w:eastAsia="zh-CN"/>
        </w:rPr>
        <w:t>市财政局、市机关事务服务中心</w:t>
      </w:r>
      <w:r>
        <w:rPr>
          <w:rFonts w:hint="default" w:ascii="Times New Roman" w:hAnsi="Times New Roman" w:eastAsia="仿宋_GB2312" w:cs="Times New Roman"/>
          <w:b w:val="0"/>
          <w:bCs w:val="0"/>
          <w:color w:val="auto"/>
          <w:sz w:val="32"/>
          <w:szCs w:val="32"/>
          <w:highlight w:val="none"/>
          <w:lang w:val="en-US" w:eastAsia="zh-CN"/>
        </w:rPr>
        <w:t>、各主管部门对国有资产使用事项的批复文件，是市直行政事业单位办理国有资产出租出借、对外投资等的依据。</w:t>
      </w:r>
    </w:p>
    <w:p w14:paraId="01FE8DF9">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val="0"/>
          <w:color w:val="auto"/>
          <w:sz w:val="32"/>
          <w:szCs w:val="32"/>
          <w:highlight w:val="none"/>
          <w:lang w:val="en-US" w:eastAsia="zh-CN"/>
        </w:rPr>
        <w:t>行政事业单位国有资产出租出借、对外投资等使用管理情况，应当在行政事业性国有资产管理情况年度报告中予以反映。</w:t>
      </w:r>
    </w:p>
    <w:p w14:paraId="2EFDFDAB">
      <w:pPr>
        <w:keepNext w:val="0"/>
        <w:keepLines w:val="0"/>
        <w:pageBreakBefore w:val="0"/>
        <w:widowControl w:val="0"/>
        <w:numPr>
          <w:ilvl w:val="0"/>
          <w:numId w:val="2"/>
        </w:numPr>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资产自用</w:t>
      </w:r>
    </w:p>
    <w:p w14:paraId="4D97F380">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Cs/>
          <w:color w:val="auto"/>
          <w:kern w:val="0"/>
          <w:sz w:val="32"/>
          <w:szCs w:val="32"/>
          <w:highlight w:val="none"/>
          <w:lang w:bidi="ar"/>
        </w:rPr>
      </w:pPr>
      <w:r>
        <w:rPr>
          <w:rFonts w:hint="default" w:ascii="Times New Roman" w:hAnsi="Times New Roman" w:eastAsia="仿宋_GB2312" w:cs="Times New Roman"/>
          <w:b/>
          <w:bCs/>
          <w:color w:val="auto"/>
          <w:sz w:val="32"/>
          <w:szCs w:val="32"/>
          <w:highlight w:val="none"/>
          <w:lang w:val="en-US" w:eastAsia="zh-CN"/>
        </w:rPr>
        <w:t>第十七条</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Cs/>
          <w:color w:val="auto"/>
          <w:sz w:val="32"/>
          <w:szCs w:val="32"/>
          <w:highlight w:val="none"/>
        </w:rPr>
        <w:t>行政事业</w:t>
      </w:r>
      <w:r>
        <w:rPr>
          <w:rFonts w:hint="default" w:ascii="Times New Roman" w:hAnsi="Times New Roman" w:eastAsia="仿宋_GB2312" w:cs="Times New Roman"/>
          <w:bCs/>
          <w:color w:val="auto"/>
          <w:kern w:val="0"/>
          <w:sz w:val="32"/>
          <w:szCs w:val="32"/>
          <w:highlight w:val="none"/>
          <w:lang w:bidi="ar"/>
        </w:rPr>
        <w:t>单位国有资产应当以自用为主，严格执行行政事业单位内部控制规范，建立健全资产验收、领用、使用、保管、维护等管理制度和流程，加强对固定资产、在建工程、无形资产等各类国有资产的使用管理。</w:t>
      </w:r>
    </w:p>
    <w:p w14:paraId="59D02F94">
      <w:pPr>
        <w:pStyle w:val="9"/>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第十八条</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sz w:val="32"/>
          <w:szCs w:val="32"/>
          <w:highlight w:val="none"/>
          <w:lang w:eastAsia="zh-CN"/>
        </w:rPr>
        <w:t>行政事业单位</w:t>
      </w:r>
      <w:r>
        <w:rPr>
          <w:rFonts w:hint="default" w:ascii="Times New Roman" w:hAnsi="Times New Roman" w:eastAsia="仿宋_GB2312" w:cs="Times New Roman"/>
          <w:color w:val="auto"/>
          <w:sz w:val="32"/>
          <w:szCs w:val="32"/>
          <w:highlight w:val="none"/>
          <w:lang w:val="en-US" w:eastAsia="zh-CN"/>
        </w:rPr>
        <w:t>应当将使用管理责任落实到人，明确资产使用人和管理人的岗位责任。</w:t>
      </w:r>
      <w:r>
        <w:rPr>
          <w:rFonts w:hint="default" w:ascii="Times New Roman" w:hAnsi="Times New Roman" w:eastAsia="仿宋_GB2312" w:cs="Times New Roman"/>
          <w:color w:val="auto"/>
          <w:sz w:val="32"/>
          <w:szCs w:val="32"/>
          <w:highlight w:val="none"/>
        </w:rPr>
        <w:t>资产使用人要妥善保管、合理使用国有资产，出现损坏及时报修，资产管理人要加强管理监督，避免闲置浪费或公物私用。资产使用人、管理人发生变化的，应当及时办理资产交接手续，移交或归还后方可办理相关手续。</w:t>
      </w:r>
    </w:p>
    <w:p w14:paraId="0C03A427">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第十九条</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sz w:val="32"/>
          <w:szCs w:val="32"/>
          <w:highlight w:val="none"/>
          <w:lang w:eastAsia="zh-CN"/>
        </w:rPr>
        <w:t>行政事业单位</w:t>
      </w:r>
      <w:r>
        <w:rPr>
          <w:rFonts w:hint="default" w:ascii="Times New Roman" w:hAnsi="Times New Roman" w:eastAsia="仿宋_GB2312" w:cs="Times New Roman"/>
          <w:color w:val="auto"/>
          <w:sz w:val="32"/>
          <w:szCs w:val="32"/>
          <w:highlight w:val="none"/>
          <w:lang w:val="en-US" w:eastAsia="zh-CN"/>
        </w:rPr>
        <w:t>应当定期或者不定期检查国有资产使用状况，及时组织资产维修和保养，减少非正常损耗，做到高效节约、物尽其用。</w:t>
      </w:r>
    </w:p>
    <w:p w14:paraId="11EAE0D7">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 xml:space="preserve">第二十条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val="0"/>
          <w:color w:val="auto"/>
          <w:sz w:val="32"/>
          <w:szCs w:val="32"/>
          <w:highlight w:val="none"/>
          <w:lang w:val="en-US" w:eastAsia="zh-CN"/>
        </w:rPr>
        <w:t>行政事业单位接受捐赠形成的资产，应当按照捐赠约定的用途使用，捐赠人意愿不明确或者没有约定用途的，应当根据单位需要和捐赠资产性能统筹安排使用。</w:t>
      </w:r>
    </w:p>
    <w:p w14:paraId="08CC06EE">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第二十一条</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sz w:val="32"/>
          <w:szCs w:val="32"/>
          <w:highlight w:val="none"/>
          <w:lang w:eastAsia="zh-CN"/>
        </w:rPr>
        <w:t>行政事业单位</w:t>
      </w:r>
      <w:r>
        <w:rPr>
          <w:rFonts w:hint="default" w:ascii="Times New Roman" w:hAnsi="Times New Roman" w:eastAsia="仿宋_GB2312" w:cs="Times New Roman"/>
          <w:color w:val="auto"/>
          <w:sz w:val="32"/>
          <w:szCs w:val="32"/>
          <w:highlight w:val="none"/>
          <w:lang w:val="en-US" w:eastAsia="zh-CN"/>
        </w:rPr>
        <w:t>应当建立资产共享共用与资产配置、绩效管理挂钩的联动机制，将资产共享共用情况作为新增资产配置的重要参考因素，充分利用存量资产，科学配置新增资产，解决资产重复配置、闲置浪费等问题，提高资产使用效益。</w:t>
      </w:r>
    </w:p>
    <w:p w14:paraId="2A83CF25">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lang w:val="en-US" w:eastAsia="zh-CN"/>
        </w:rPr>
        <w:t>第二十二条</w:t>
      </w:r>
      <w:r>
        <w:rPr>
          <w:rFonts w:hint="default" w:ascii="Times New Roman" w:hAnsi="Times New Roman" w:eastAsia="仿宋_GB2312" w:cs="Times New Roman"/>
          <w:color w:val="auto"/>
          <w:sz w:val="32"/>
          <w:szCs w:val="32"/>
          <w:highlight w:val="none"/>
          <w:lang w:val="en-US" w:eastAsia="zh-CN"/>
        </w:rPr>
        <w:t xml:space="preserve"> 市直</w:t>
      </w:r>
      <w:r>
        <w:rPr>
          <w:rFonts w:hint="default" w:ascii="Times New Roman" w:hAnsi="Times New Roman" w:eastAsia="仿宋_GB2312" w:cs="Times New Roman"/>
          <w:bCs/>
          <w:color w:val="auto"/>
          <w:sz w:val="32"/>
          <w:szCs w:val="32"/>
          <w:highlight w:val="none"/>
        </w:rPr>
        <w:t>行政事业单位对外提供开放共享服务，可以按照成本补偿和非营利性原则合理制定、标示补偿标准，由使用方向提供方给予合理补偿</w:t>
      </w:r>
      <w:r>
        <w:rPr>
          <w:rFonts w:hint="default" w:ascii="Times New Roman" w:hAnsi="Times New Roman" w:eastAsia="仿宋_GB2312" w:cs="Times New Roman"/>
          <w:color w:val="auto"/>
          <w:sz w:val="32"/>
          <w:szCs w:val="32"/>
          <w:highlight w:val="none"/>
          <w:lang w:val="en-US" w:eastAsia="zh-CN"/>
        </w:rPr>
        <w:t>。补偿标准由提供方</w:t>
      </w:r>
      <w:r>
        <w:rPr>
          <w:rFonts w:hint="default" w:ascii="Times New Roman" w:hAnsi="Times New Roman" w:eastAsia="仿宋_GB2312" w:cs="Times New Roman"/>
          <w:color w:val="auto"/>
          <w:sz w:val="32"/>
          <w:szCs w:val="32"/>
          <w:highlight w:val="none"/>
          <w:u w:val="none"/>
          <w:lang w:val="en-US" w:eastAsia="zh-CN"/>
        </w:rPr>
        <w:t>主管部门审批同意后，报</w:t>
      </w:r>
      <w:r>
        <w:rPr>
          <w:rFonts w:hint="default" w:ascii="Times New Roman" w:hAnsi="Times New Roman" w:eastAsia="仿宋_GB2312" w:cs="Times New Roman"/>
          <w:b w:val="0"/>
          <w:bCs w:val="0"/>
          <w:color w:val="auto"/>
          <w:sz w:val="32"/>
          <w:szCs w:val="32"/>
          <w:highlight w:val="none"/>
          <w:u w:val="none"/>
          <w:lang w:val="en-US" w:eastAsia="zh-CN"/>
        </w:rPr>
        <w:t>市财政局</w:t>
      </w:r>
      <w:r>
        <w:rPr>
          <w:rFonts w:hint="default" w:ascii="Times New Roman" w:hAnsi="Times New Roman" w:eastAsia="仿宋_GB2312" w:cs="Times New Roman"/>
          <w:color w:val="auto"/>
          <w:sz w:val="32"/>
          <w:szCs w:val="32"/>
          <w:highlight w:val="none"/>
          <w:u w:val="none"/>
          <w:lang w:val="en-US" w:eastAsia="zh-CN"/>
        </w:rPr>
        <w:t>备案。</w:t>
      </w:r>
    </w:p>
    <w:p w14:paraId="6283C32A">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single"/>
          <w:lang w:val="en-US" w:eastAsia="zh-CN"/>
        </w:rPr>
      </w:pPr>
      <w:r>
        <w:rPr>
          <w:rFonts w:hint="default" w:ascii="Times New Roman" w:hAnsi="Times New Roman" w:eastAsia="仿宋_GB2312" w:cs="Times New Roman"/>
          <w:color w:val="auto"/>
          <w:kern w:val="0"/>
          <w:sz w:val="32"/>
          <w:szCs w:val="32"/>
          <w:highlight w:val="none"/>
          <w:u w:val="none"/>
          <w:lang w:eastAsia="zh-CN"/>
        </w:rPr>
        <w:t>市直各</w:t>
      </w:r>
      <w:r>
        <w:rPr>
          <w:rFonts w:hint="default" w:ascii="Times New Roman" w:hAnsi="Times New Roman" w:eastAsia="仿宋_GB2312" w:cs="Times New Roman"/>
          <w:color w:val="auto"/>
          <w:kern w:val="0"/>
          <w:sz w:val="32"/>
          <w:szCs w:val="32"/>
          <w:highlight w:val="none"/>
        </w:rPr>
        <w:t>研究开发机构</w:t>
      </w:r>
      <w:r>
        <w:rPr>
          <w:rFonts w:hint="default" w:ascii="Times New Roman" w:hAnsi="Times New Roman" w:eastAsia="仿宋_GB2312" w:cs="Times New Roman"/>
          <w:color w:val="auto"/>
          <w:sz w:val="32"/>
          <w:szCs w:val="32"/>
          <w:highlight w:val="none"/>
          <w:lang w:val="en-US" w:eastAsia="zh-CN"/>
        </w:rPr>
        <w:t>、高等院校、</w:t>
      </w:r>
      <w:r>
        <w:rPr>
          <w:rFonts w:hint="default" w:ascii="Times New Roman" w:hAnsi="Times New Roman" w:eastAsia="仿宋_GB2312" w:cs="Times New Roman"/>
          <w:color w:val="auto"/>
          <w:sz w:val="32"/>
          <w:szCs w:val="32"/>
          <w:highlight w:val="none"/>
          <w:u w:val="none"/>
          <w:lang w:val="en-US" w:eastAsia="zh-CN"/>
        </w:rPr>
        <w:t>医疗卫生机构</w:t>
      </w:r>
      <w:r>
        <w:rPr>
          <w:rFonts w:hint="default" w:ascii="Times New Roman" w:hAnsi="Times New Roman" w:eastAsia="仿宋_GB2312" w:cs="Times New Roman"/>
          <w:color w:val="auto"/>
          <w:sz w:val="32"/>
          <w:szCs w:val="32"/>
          <w:highlight w:val="none"/>
          <w:lang w:val="en-US" w:eastAsia="zh-CN"/>
        </w:rPr>
        <w:t>等事业单位，应当将符合条件的科研设施与科研仪器实行开放共享和高效利用。</w:t>
      </w:r>
    </w:p>
    <w:p w14:paraId="4D10A55D">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第二十三条</w:t>
      </w:r>
      <w:r>
        <w:rPr>
          <w:rFonts w:hint="default" w:ascii="Times New Roman" w:hAnsi="Times New Roman" w:eastAsia="仿宋_GB2312" w:cs="Times New Roman"/>
          <w:color w:val="auto"/>
          <w:sz w:val="32"/>
          <w:szCs w:val="32"/>
          <w:highlight w:val="none"/>
          <w:lang w:val="en-US" w:eastAsia="zh-CN"/>
        </w:rPr>
        <w:t xml:space="preserve"> 鼓励</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sz w:val="32"/>
          <w:szCs w:val="32"/>
          <w:highlight w:val="none"/>
          <w:lang w:eastAsia="zh-CN"/>
        </w:rPr>
        <w:t>行政事业单位</w:t>
      </w:r>
      <w:r>
        <w:rPr>
          <w:rFonts w:hint="default" w:ascii="Times New Roman" w:hAnsi="Times New Roman" w:eastAsia="仿宋_GB2312" w:cs="Times New Roman"/>
          <w:color w:val="auto"/>
          <w:sz w:val="32"/>
          <w:szCs w:val="32"/>
          <w:highlight w:val="none"/>
          <w:lang w:val="en-US" w:eastAsia="zh-CN"/>
        </w:rPr>
        <w:t>合法合规开展软件等无形资产共享共用工作。共享共用的软件等无形资产著作权仍归原单位所有，使用共享软件等无形资产的单位可通过合同约定享受修改权、复制权等部分著作权利。</w:t>
      </w:r>
    </w:p>
    <w:p w14:paraId="05264DD9">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p>
    <w:p w14:paraId="05164F48">
      <w:pPr>
        <w:keepNext w:val="0"/>
        <w:keepLines w:val="0"/>
        <w:pageBreakBefore w:val="0"/>
        <w:widowControl w:val="0"/>
        <w:numPr>
          <w:ilvl w:val="0"/>
          <w:numId w:val="2"/>
        </w:numPr>
        <w:suppressAutoHyphens/>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outlineLvl w:val="9"/>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出租出借</w:t>
      </w:r>
    </w:p>
    <w:p w14:paraId="14180E3B">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第二十四条</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kern w:val="2"/>
          <w:sz w:val="32"/>
          <w:szCs w:val="32"/>
          <w:highlight w:val="none"/>
          <w:u w:val="none"/>
          <w:lang w:val="en-US" w:eastAsia="zh-CN" w:bidi="ar"/>
        </w:rPr>
        <w:t>行政事业单位</w:t>
      </w:r>
      <w:r>
        <w:rPr>
          <w:rFonts w:hint="default" w:ascii="Times New Roman" w:hAnsi="Times New Roman" w:eastAsia="仿宋_GB2312" w:cs="Times New Roman"/>
          <w:color w:val="auto"/>
          <w:sz w:val="32"/>
          <w:szCs w:val="32"/>
          <w:highlight w:val="none"/>
          <w:u w:val="none"/>
          <w:lang w:val="en-US" w:eastAsia="zh-CN"/>
        </w:rPr>
        <w:t>应当严格控制国有资产出租出借行为。对不需使用且难以调剂、共享共用的国有资产，经严格论证和集体决策，按照规定权限履行相应的报批手续后，可以出租出借，未经批准不得出租出借</w:t>
      </w:r>
      <w:r>
        <w:rPr>
          <w:rFonts w:hint="default" w:ascii="Times New Roman" w:hAnsi="Times New Roman" w:eastAsia="仿宋_GB2312" w:cs="Times New Roman"/>
          <w:color w:val="auto"/>
          <w:sz w:val="32"/>
          <w:szCs w:val="32"/>
          <w:highlight w:val="none"/>
          <w:lang w:val="en-US" w:eastAsia="zh-CN"/>
        </w:rPr>
        <w:t>。</w:t>
      </w:r>
    </w:p>
    <w:p w14:paraId="035A898D">
      <w:pPr>
        <w:pStyle w:val="9"/>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bCs/>
          <w:color w:val="auto"/>
          <w:sz w:val="32"/>
          <w:szCs w:val="32"/>
          <w:highlight w:val="none"/>
        </w:rPr>
        <w:t>除国家</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省</w:t>
      </w:r>
      <w:r>
        <w:rPr>
          <w:rFonts w:hint="default" w:ascii="Times New Roman" w:hAnsi="Times New Roman" w:eastAsia="仿宋_GB2312" w:cs="Times New Roman"/>
          <w:bCs/>
          <w:color w:val="auto"/>
          <w:sz w:val="32"/>
          <w:szCs w:val="32"/>
          <w:highlight w:val="none"/>
          <w:lang w:eastAsia="zh-CN"/>
        </w:rPr>
        <w:t>、市</w:t>
      </w:r>
      <w:r>
        <w:rPr>
          <w:rFonts w:hint="default" w:ascii="Times New Roman" w:hAnsi="Times New Roman" w:eastAsia="仿宋_GB2312" w:cs="Times New Roman"/>
          <w:bCs/>
          <w:color w:val="auto"/>
          <w:sz w:val="32"/>
          <w:szCs w:val="32"/>
          <w:highlight w:val="none"/>
        </w:rPr>
        <w:t>另有规定外，</w:t>
      </w:r>
      <w:r>
        <w:rPr>
          <w:rFonts w:hint="default" w:ascii="Times New Roman" w:hAnsi="Times New Roman" w:eastAsia="仿宋_GB2312" w:cs="Times New Roman"/>
          <w:bCs/>
          <w:color w:val="auto"/>
          <w:sz w:val="32"/>
          <w:szCs w:val="32"/>
          <w:highlight w:val="none"/>
          <w:lang w:eastAsia="zh-CN"/>
        </w:rPr>
        <w:t>市直</w:t>
      </w:r>
      <w:r>
        <w:rPr>
          <w:rFonts w:hint="default" w:ascii="Times New Roman" w:hAnsi="Times New Roman" w:eastAsia="仿宋_GB2312" w:cs="Times New Roman"/>
          <w:bCs/>
          <w:color w:val="auto"/>
          <w:sz w:val="32"/>
          <w:szCs w:val="32"/>
          <w:highlight w:val="none"/>
        </w:rPr>
        <w:t>行政事业单位国有资产原则上不能出借给非行政事业单位或个人。</w:t>
      </w:r>
    </w:p>
    <w:p w14:paraId="55D1F659">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 xml:space="preserve">第二十五条 </w:t>
      </w:r>
      <w:r>
        <w:rPr>
          <w:rFonts w:hint="default" w:ascii="Times New Roman" w:hAnsi="Times New Roman" w:eastAsia="仿宋_GB2312" w:cs="Times New Roman"/>
          <w:b w:val="0"/>
          <w:bCs/>
          <w:color w:val="auto"/>
          <w:sz w:val="32"/>
          <w:szCs w:val="32"/>
          <w:highlight w:val="none"/>
          <w:u w:val="none"/>
          <w:lang w:val="en-US" w:eastAsia="zh-CN"/>
        </w:rPr>
        <w:t>除国家、省、市另有规定外，</w:t>
      </w:r>
      <w:r>
        <w:rPr>
          <w:rFonts w:hint="default" w:ascii="Times New Roman" w:hAnsi="Times New Roman" w:eastAsia="仿宋_GB2312" w:cs="Times New Roman"/>
          <w:b w:val="0"/>
          <w:bCs w:val="0"/>
          <w:color w:val="auto"/>
          <w:sz w:val="32"/>
          <w:szCs w:val="32"/>
          <w:highlight w:val="none"/>
          <w:u w:val="none"/>
          <w:lang w:eastAsia="zh-CN"/>
        </w:rPr>
        <w:t>市直</w:t>
      </w:r>
      <w:r>
        <w:rPr>
          <w:rFonts w:hint="default" w:ascii="Times New Roman" w:hAnsi="Times New Roman" w:eastAsia="仿宋_GB2312" w:cs="Times New Roman"/>
          <w:b w:val="0"/>
          <w:bCs/>
          <w:color w:val="auto"/>
          <w:sz w:val="32"/>
          <w:szCs w:val="32"/>
          <w:highlight w:val="none"/>
          <w:u w:val="none"/>
          <w:lang w:val="en-US" w:eastAsia="zh-CN"/>
        </w:rPr>
        <w:t>行政事业单位办公用房、技术业务用房、其他房屋闲置且无法调剂使用、无法按规定转换用途或者置换为其他符合国家政策和需要的资产的，可以按照规定履行审批程序后出租出借。</w:t>
      </w:r>
    </w:p>
    <w:p w14:paraId="22A1E347">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第二十六条</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kern w:val="2"/>
          <w:sz w:val="32"/>
          <w:szCs w:val="32"/>
          <w:highlight w:val="none"/>
          <w:lang w:val="en-US" w:eastAsia="zh-CN" w:bidi="ar"/>
        </w:rPr>
        <w:t>行政事业单位</w:t>
      </w:r>
      <w:r>
        <w:rPr>
          <w:rFonts w:hint="default" w:ascii="Times New Roman" w:hAnsi="Times New Roman" w:eastAsia="仿宋_GB2312" w:cs="Times New Roman"/>
          <w:color w:val="auto"/>
          <w:sz w:val="32"/>
          <w:szCs w:val="32"/>
          <w:highlight w:val="none"/>
          <w:lang w:val="en-US" w:eastAsia="zh-CN"/>
        </w:rPr>
        <w:t>原则上不得在资产闲置</w:t>
      </w:r>
      <w:r>
        <w:rPr>
          <w:rFonts w:hint="default" w:ascii="Times New Roman" w:hAnsi="Times New Roman" w:eastAsia="仿宋_GB2312" w:cs="Times New Roman"/>
          <w:color w:val="auto"/>
          <w:sz w:val="32"/>
          <w:szCs w:val="32"/>
          <w:highlight w:val="none"/>
          <w:u w:val="none"/>
          <w:lang w:val="en-US" w:eastAsia="zh-CN"/>
        </w:rPr>
        <w:t>的情况下租用借用、购置同类资产，不得在</w:t>
      </w:r>
      <w:r>
        <w:rPr>
          <w:rFonts w:hint="default" w:ascii="Times New Roman" w:hAnsi="Times New Roman" w:eastAsia="仿宋_GB2312" w:cs="Times New Roman"/>
          <w:color w:val="auto"/>
          <w:sz w:val="32"/>
          <w:szCs w:val="32"/>
          <w:highlight w:val="none"/>
          <w:lang w:val="en-US" w:eastAsia="zh-CN"/>
        </w:rPr>
        <w:t>对外出租出借的情况下租用借用、购置同类资产。</w:t>
      </w:r>
    </w:p>
    <w:p w14:paraId="676D5C9B">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color w:val="auto"/>
          <w:kern w:val="2"/>
          <w:sz w:val="32"/>
          <w:szCs w:val="32"/>
          <w:highlight w:val="none"/>
        </w:rPr>
      </w:pPr>
      <w:r>
        <w:rPr>
          <w:rFonts w:hint="default" w:ascii="Times New Roman" w:hAnsi="Times New Roman" w:eastAsia="仿宋_GB2312" w:cs="Times New Roman"/>
          <w:b/>
          <w:color w:val="auto"/>
          <w:kern w:val="2"/>
          <w:sz w:val="32"/>
          <w:szCs w:val="32"/>
          <w:highlight w:val="none"/>
          <w:lang w:val="en-US" w:eastAsia="zh-CN" w:bidi="ar"/>
        </w:rPr>
        <w:t>第二十七条</w:t>
      </w:r>
      <w:r>
        <w:rPr>
          <w:rFonts w:hint="default" w:ascii="Times New Roman" w:hAnsi="Times New Roman" w:eastAsia="仿宋_GB2312" w:cs="Times New Roman"/>
          <w:b w:val="0"/>
          <w:color w:val="auto"/>
          <w:kern w:val="2"/>
          <w:sz w:val="32"/>
          <w:szCs w:val="32"/>
          <w:highlight w:val="none"/>
          <w:lang w:val="en-US" w:eastAsia="zh-CN" w:bidi="ar"/>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color w:val="auto"/>
          <w:kern w:val="2"/>
          <w:sz w:val="32"/>
          <w:szCs w:val="32"/>
          <w:highlight w:val="none"/>
          <w:lang w:val="en-US" w:eastAsia="zh-CN" w:bidi="ar"/>
        </w:rPr>
        <w:t>行政事业单位资产经批准出租的</w:t>
      </w:r>
      <w:r>
        <w:rPr>
          <w:rFonts w:hint="eastAsia" w:ascii="Times New Roman" w:hAnsi="Times New Roman" w:eastAsia="仿宋_GB2312" w:cs="Times New Roman"/>
          <w:b w:val="0"/>
          <w:color w:val="auto"/>
          <w:kern w:val="2"/>
          <w:sz w:val="32"/>
          <w:szCs w:val="32"/>
          <w:highlight w:val="none"/>
          <w:lang w:val="en-US" w:eastAsia="zh-CN" w:bidi="ar"/>
        </w:rPr>
        <w:t>，</w:t>
      </w:r>
      <w:r>
        <w:rPr>
          <w:rFonts w:hint="default" w:ascii="Times New Roman" w:hAnsi="Times New Roman" w:eastAsia="仿宋_GB2312" w:cs="Times New Roman"/>
          <w:b w:val="0"/>
          <w:color w:val="auto"/>
          <w:kern w:val="2"/>
          <w:sz w:val="32"/>
          <w:szCs w:val="32"/>
          <w:highlight w:val="none"/>
          <w:lang w:val="en-US" w:eastAsia="zh-CN" w:bidi="ar"/>
        </w:rPr>
        <w:t>应当签订书面合同</w:t>
      </w:r>
      <w:r>
        <w:rPr>
          <w:rFonts w:hint="eastAsia" w:ascii="Times New Roman" w:hAnsi="Times New Roman" w:eastAsia="仿宋_GB2312" w:cs="Times New Roman"/>
          <w:b w:val="0"/>
          <w:color w:val="auto"/>
          <w:kern w:val="2"/>
          <w:sz w:val="32"/>
          <w:szCs w:val="32"/>
          <w:highlight w:val="none"/>
          <w:lang w:val="en-US" w:eastAsia="zh-CN" w:bidi="ar"/>
        </w:rPr>
        <w:t>，</w:t>
      </w:r>
      <w:r>
        <w:rPr>
          <w:rFonts w:hint="default" w:ascii="Times New Roman" w:hAnsi="Times New Roman" w:eastAsia="仿宋_GB2312" w:cs="Times New Roman"/>
          <w:b w:val="0"/>
          <w:color w:val="auto"/>
          <w:kern w:val="2"/>
          <w:sz w:val="32"/>
          <w:szCs w:val="32"/>
          <w:highlight w:val="none"/>
          <w:lang w:val="en-US" w:eastAsia="zh-CN" w:bidi="ar"/>
        </w:rPr>
        <w:t>合同期限一般不得超过五年。</w:t>
      </w:r>
    </w:p>
    <w:p w14:paraId="1472B4B5">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color w:val="auto"/>
          <w:kern w:val="2"/>
          <w:sz w:val="32"/>
          <w:szCs w:val="32"/>
          <w:highlight w:val="none"/>
          <w:u w:val="none"/>
          <w:lang w:val="en-US" w:eastAsia="zh-CN" w:bidi="ar"/>
        </w:rPr>
      </w:pP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color w:val="auto"/>
          <w:kern w:val="2"/>
          <w:sz w:val="32"/>
          <w:szCs w:val="32"/>
          <w:highlight w:val="none"/>
          <w:u w:val="none"/>
          <w:lang w:val="en-US" w:eastAsia="zh-CN" w:bidi="ar"/>
        </w:rPr>
        <w:t>行政事业单位资产出租期限为五年以内的</w:t>
      </w:r>
      <w:r>
        <w:rPr>
          <w:rFonts w:hint="eastAsia" w:ascii="Times New Roman" w:hAnsi="Times New Roman" w:eastAsia="仿宋_GB2312" w:cs="Times New Roman"/>
          <w:b w:val="0"/>
          <w:color w:val="auto"/>
          <w:kern w:val="2"/>
          <w:sz w:val="32"/>
          <w:szCs w:val="32"/>
          <w:highlight w:val="none"/>
          <w:u w:val="none"/>
          <w:lang w:val="en-US" w:eastAsia="zh-CN" w:bidi="ar"/>
        </w:rPr>
        <w:t>，</w:t>
      </w:r>
      <w:r>
        <w:rPr>
          <w:rFonts w:hint="default" w:ascii="Times New Roman" w:hAnsi="Times New Roman" w:eastAsia="仿宋_GB2312" w:cs="Times New Roman"/>
          <w:b w:val="0"/>
          <w:color w:val="auto"/>
          <w:kern w:val="2"/>
          <w:sz w:val="32"/>
          <w:szCs w:val="32"/>
          <w:highlight w:val="none"/>
          <w:u w:val="none"/>
          <w:lang w:val="en-US" w:eastAsia="zh-CN" w:bidi="ar"/>
        </w:rPr>
        <w:t>由主管部门审批，报市财政局备案，涉及办公用房、公务用车的报市</w:t>
      </w:r>
      <w:r>
        <w:rPr>
          <w:rFonts w:hint="eastAsia" w:ascii="Times New Roman" w:hAnsi="Times New Roman" w:eastAsia="仿宋_GB2312" w:cs="Times New Roman"/>
          <w:b w:val="0"/>
          <w:color w:val="auto"/>
          <w:kern w:val="2"/>
          <w:sz w:val="32"/>
          <w:szCs w:val="32"/>
          <w:highlight w:val="none"/>
          <w:u w:val="none"/>
          <w:lang w:val="en-US" w:eastAsia="zh-CN" w:bidi="ar"/>
        </w:rPr>
        <w:t>机关事务服务中心</w:t>
      </w:r>
      <w:r>
        <w:rPr>
          <w:rFonts w:hint="default" w:ascii="Times New Roman" w:hAnsi="Times New Roman" w:eastAsia="仿宋_GB2312" w:cs="Times New Roman"/>
          <w:b w:val="0"/>
          <w:color w:val="auto"/>
          <w:kern w:val="2"/>
          <w:sz w:val="32"/>
          <w:szCs w:val="32"/>
          <w:highlight w:val="none"/>
          <w:u w:val="none"/>
          <w:lang w:val="en-US" w:eastAsia="zh-CN" w:bidi="ar"/>
        </w:rPr>
        <w:t>审批</w:t>
      </w:r>
      <w:r>
        <w:rPr>
          <w:rFonts w:hint="eastAsia" w:ascii="Times New Roman" w:hAnsi="Times New Roman" w:eastAsia="仿宋_GB2312" w:cs="Times New Roman"/>
          <w:b w:val="0"/>
          <w:color w:val="auto"/>
          <w:kern w:val="2"/>
          <w:sz w:val="32"/>
          <w:szCs w:val="32"/>
          <w:highlight w:val="none"/>
          <w:u w:val="none"/>
          <w:lang w:val="en-US" w:eastAsia="zh-CN" w:bidi="ar"/>
        </w:rPr>
        <w:t>，</w:t>
      </w:r>
      <w:r>
        <w:rPr>
          <w:rFonts w:hint="default" w:ascii="Times New Roman" w:hAnsi="Times New Roman" w:eastAsia="仿宋_GB2312" w:cs="Times New Roman"/>
          <w:b w:val="0"/>
          <w:color w:val="auto"/>
          <w:kern w:val="2"/>
          <w:sz w:val="32"/>
          <w:szCs w:val="32"/>
          <w:highlight w:val="none"/>
          <w:u w:val="none"/>
          <w:lang w:val="en-US" w:eastAsia="zh-CN" w:bidi="ar"/>
        </w:rPr>
        <w:t>报市财政局备案；超过五年的</w:t>
      </w:r>
      <w:r>
        <w:rPr>
          <w:rFonts w:hint="eastAsia" w:ascii="Times New Roman" w:hAnsi="Times New Roman" w:eastAsia="仿宋_GB2312" w:cs="Times New Roman"/>
          <w:b w:val="0"/>
          <w:color w:val="auto"/>
          <w:kern w:val="2"/>
          <w:sz w:val="32"/>
          <w:szCs w:val="32"/>
          <w:highlight w:val="none"/>
          <w:u w:val="none"/>
          <w:lang w:val="en-US" w:eastAsia="zh-CN" w:bidi="ar"/>
        </w:rPr>
        <w:t>，</w:t>
      </w:r>
      <w:r>
        <w:rPr>
          <w:rFonts w:hint="default" w:ascii="Times New Roman" w:hAnsi="Times New Roman" w:eastAsia="仿宋_GB2312" w:cs="Times New Roman"/>
          <w:b w:val="0"/>
          <w:color w:val="auto"/>
          <w:kern w:val="2"/>
          <w:sz w:val="32"/>
          <w:szCs w:val="32"/>
          <w:highlight w:val="none"/>
          <w:u w:val="none"/>
          <w:lang w:val="en-US" w:eastAsia="zh-CN" w:bidi="ar"/>
        </w:rPr>
        <w:t>经主管部门审核后</w:t>
      </w:r>
      <w:r>
        <w:rPr>
          <w:rFonts w:hint="eastAsia" w:ascii="Times New Roman" w:hAnsi="Times New Roman" w:eastAsia="仿宋_GB2312" w:cs="Times New Roman"/>
          <w:b w:val="0"/>
          <w:color w:val="auto"/>
          <w:kern w:val="2"/>
          <w:sz w:val="32"/>
          <w:szCs w:val="32"/>
          <w:highlight w:val="none"/>
          <w:u w:val="none"/>
          <w:lang w:val="en-US" w:eastAsia="zh-CN" w:bidi="ar"/>
        </w:rPr>
        <w:t>，</w:t>
      </w:r>
      <w:r>
        <w:rPr>
          <w:rFonts w:hint="default" w:ascii="Times New Roman" w:hAnsi="Times New Roman" w:eastAsia="仿宋_GB2312" w:cs="Times New Roman"/>
          <w:b w:val="0"/>
          <w:color w:val="auto"/>
          <w:kern w:val="2"/>
          <w:sz w:val="32"/>
          <w:szCs w:val="32"/>
          <w:highlight w:val="none"/>
          <w:u w:val="none"/>
          <w:lang w:val="en-US" w:eastAsia="zh-CN" w:bidi="ar"/>
        </w:rPr>
        <w:t>报市人民政府审批，其中涉及办公用房、公务用车的由市</w:t>
      </w:r>
      <w:r>
        <w:rPr>
          <w:rFonts w:hint="eastAsia" w:ascii="Times New Roman" w:hAnsi="Times New Roman" w:eastAsia="仿宋_GB2312" w:cs="Times New Roman"/>
          <w:b w:val="0"/>
          <w:color w:val="auto"/>
          <w:kern w:val="2"/>
          <w:sz w:val="32"/>
          <w:szCs w:val="32"/>
          <w:highlight w:val="none"/>
          <w:u w:val="none"/>
          <w:lang w:val="en-US" w:eastAsia="zh-CN" w:bidi="ar"/>
        </w:rPr>
        <w:t>机关事务服务中心</w:t>
      </w:r>
      <w:r>
        <w:rPr>
          <w:rFonts w:hint="default" w:ascii="Times New Roman" w:hAnsi="Times New Roman" w:eastAsia="仿宋_GB2312" w:cs="Times New Roman"/>
          <w:b w:val="0"/>
          <w:color w:val="auto"/>
          <w:kern w:val="2"/>
          <w:sz w:val="32"/>
          <w:szCs w:val="32"/>
          <w:highlight w:val="none"/>
          <w:u w:val="none"/>
          <w:lang w:val="en-US" w:eastAsia="zh-CN" w:bidi="ar"/>
        </w:rPr>
        <w:t>审核后</w:t>
      </w:r>
      <w:r>
        <w:rPr>
          <w:rFonts w:hint="eastAsia" w:ascii="Times New Roman" w:hAnsi="Times New Roman" w:eastAsia="仿宋_GB2312" w:cs="Times New Roman"/>
          <w:b w:val="0"/>
          <w:color w:val="auto"/>
          <w:kern w:val="2"/>
          <w:sz w:val="32"/>
          <w:szCs w:val="32"/>
          <w:highlight w:val="none"/>
          <w:u w:val="none"/>
          <w:lang w:val="en-US" w:eastAsia="zh-CN" w:bidi="ar"/>
        </w:rPr>
        <w:t>，</w:t>
      </w:r>
      <w:r>
        <w:rPr>
          <w:rFonts w:hint="default" w:ascii="Times New Roman" w:hAnsi="Times New Roman" w:eastAsia="仿宋_GB2312" w:cs="Times New Roman"/>
          <w:b w:val="0"/>
          <w:color w:val="auto"/>
          <w:kern w:val="2"/>
          <w:sz w:val="32"/>
          <w:szCs w:val="32"/>
          <w:highlight w:val="none"/>
          <w:u w:val="none"/>
          <w:lang w:val="en-US" w:eastAsia="zh-CN" w:bidi="ar"/>
        </w:rPr>
        <w:t>报市人民政府审批。</w:t>
      </w:r>
    </w:p>
    <w:p w14:paraId="17EA8286">
      <w:pPr>
        <w:keepNext w:val="0"/>
        <w:keepLines w:val="0"/>
        <w:pageBreakBefore w:val="0"/>
        <w:widowControl w:val="0"/>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第二十八条</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w:t>
      </w:r>
      <w:r>
        <w:rPr>
          <w:rFonts w:hint="default" w:ascii="Times New Roman" w:hAnsi="Times New Roman" w:eastAsia="仿宋_GB2312" w:cs="Times New Roman"/>
          <w:b w:val="0"/>
          <w:bCs/>
          <w:color w:val="auto"/>
          <w:kern w:val="0"/>
          <w:sz w:val="32"/>
          <w:szCs w:val="32"/>
          <w:highlight w:val="none"/>
          <w:lang w:val="en-US" w:eastAsia="zh-CN" w:bidi="ar"/>
        </w:rPr>
        <w:t>直行政事业单位资产出租，应当开展资产评估。以公开竞争方式进行的，原则上通过相应的公共资源交易平台、产权交易机构等进行。流拍未成交的，经原审批单位同意后，可按不低于评估价90%重新确认后交易。租金底价经下调后仍招租不成功的，由资产出租单位重新委托第二家有资质的评估机构对出租的国有资产进行重新评估，并按程序重新办理资产出租手续。</w:t>
      </w:r>
    </w:p>
    <w:p w14:paraId="2FAC6608">
      <w:pPr>
        <w:keepNext w:val="0"/>
        <w:keepLines w:val="0"/>
        <w:pageBreakBefore w:val="0"/>
        <w:widowControl w:val="0"/>
        <w:suppressAutoHyphen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属于以下情形的，可不实行公开招租：</w:t>
      </w:r>
    </w:p>
    <w:p w14:paraId="70267C67">
      <w:pPr>
        <w:keepNext w:val="0"/>
        <w:keepLines w:val="0"/>
        <w:pageBreakBefore w:val="0"/>
        <w:widowControl w:val="0"/>
        <w:suppressAutoHyphen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w:t>
      </w:r>
      <w:r>
        <w:rPr>
          <w:rFonts w:hint="default" w:ascii="Times New Roman" w:hAnsi="Times New Roman" w:eastAsia="仿宋_GB2312" w:cs="Times New Roman"/>
          <w:color w:val="auto"/>
          <w:sz w:val="32"/>
          <w:szCs w:val="32"/>
          <w:highlight w:val="none"/>
          <w:u w:val="none"/>
          <w:lang w:val="en-US" w:eastAsia="zh-CN"/>
        </w:rPr>
        <w:t>30天以内（含30天）的短期、临时性出租行为，可采取非公开招租方式，</w:t>
      </w:r>
      <w:r>
        <w:rPr>
          <w:rFonts w:hint="default" w:ascii="Times New Roman" w:hAnsi="Times New Roman" w:eastAsia="仿宋_GB2312" w:cs="Times New Roman"/>
          <w:color w:val="auto"/>
          <w:sz w:val="32"/>
          <w:szCs w:val="32"/>
          <w:highlight w:val="none"/>
          <w:lang w:val="en-US" w:eastAsia="zh-CN"/>
        </w:rPr>
        <w:t>以不低于评估价的租金标准出租。各单位不得故意拆分租期，规避公开招租。</w:t>
      </w:r>
    </w:p>
    <w:p w14:paraId="72781D46">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（二）租期超过30天</w:t>
      </w:r>
      <w:r>
        <w:rPr>
          <w:rFonts w:hint="default" w:ascii="Times New Roman" w:hAnsi="Times New Roman" w:eastAsia="仿宋_GB2312" w:cs="Times New Roman"/>
          <w:color w:val="auto"/>
          <w:sz w:val="32"/>
          <w:szCs w:val="32"/>
          <w:highlight w:val="none"/>
          <w:lang w:val="en-US" w:eastAsia="zh-CN"/>
        </w:rPr>
        <w:t>，且因涉及国计民生、公共安全、外交事务、城乡规划、文物保护、生活设施配套等特殊需要不适宜公开招租的，应就定向出租事项进行专项分析论证，</w:t>
      </w:r>
      <w:r>
        <w:rPr>
          <w:rFonts w:hint="default" w:ascii="Times New Roman" w:hAnsi="Times New Roman" w:eastAsia="仿宋_GB2312" w:cs="Times New Roman"/>
          <w:color w:val="auto"/>
          <w:sz w:val="32"/>
          <w:szCs w:val="32"/>
          <w:highlight w:val="none"/>
          <w:u w:val="none"/>
          <w:lang w:val="en-US" w:eastAsia="zh-CN"/>
        </w:rPr>
        <w:t>并按不低于评估价或国家、省、市有关补偿标准实行协议出租。</w:t>
      </w:r>
      <w:r>
        <w:rPr>
          <w:rFonts w:hint="default" w:ascii="Times New Roman" w:hAnsi="Times New Roman" w:eastAsia="仿宋_GB2312" w:cs="Times New Roman"/>
          <w:color w:val="auto"/>
          <w:sz w:val="32"/>
          <w:szCs w:val="32"/>
          <w:highlight w:val="none"/>
          <w:lang w:val="en-US" w:eastAsia="zh-CN"/>
        </w:rPr>
        <w:t xml:space="preserve"> </w:t>
      </w:r>
    </w:p>
    <w:p w14:paraId="79079AA7">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u w:val="single"/>
          <w:lang w:val="en-US" w:eastAsia="zh-CN"/>
        </w:rPr>
      </w:pPr>
      <w:r>
        <w:rPr>
          <w:rFonts w:hint="default" w:ascii="Times New Roman" w:hAnsi="Times New Roman" w:eastAsia="仿宋_GB2312" w:cs="Times New Roman"/>
          <w:b/>
          <w:color w:val="auto"/>
          <w:sz w:val="32"/>
          <w:szCs w:val="32"/>
          <w:highlight w:val="none"/>
        </w:rPr>
        <w:t>第</w:t>
      </w:r>
      <w:r>
        <w:rPr>
          <w:rFonts w:hint="default" w:ascii="Times New Roman" w:hAnsi="Times New Roman" w:eastAsia="仿宋_GB2312" w:cs="Times New Roman"/>
          <w:b/>
          <w:color w:val="auto"/>
          <w:sz w:val="32"/>
          <w:szCs w:val="32"/>
          <w:highlight w:val="none"/>
          <w:lang w:eastAsia="zh-CN"/>
        </w:rPr>
        <w:t>二十九</w:t>
      </w:r>
      <w:r>
        <w:rPr>
          <w:rFonts w:hint="default" w:ascii="Times New Roman" w:hAnsi="Times New Roman" w:eastAsia="仿宋_GB2312" w:cs="Times New Roman"/>
          <w:b/>
          <w:color w:val="auto"/>
          <w:sz w:val="32"/>
          <w:szCs w:val="32"/>
          <w:highlight w:val="none"/>
        </w:rPr>
        <w:t>条</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sz w:val="32"/>
          <w:szCs w:val="32"/>
          <w:highlight w:val="none"/>
          <w:lang w:eastAsia="zh-CN"/>
        </w:rPr>
        <w:t>行政事业</w:t>
      </w:r>
      <w:r>
        <w:rPr>
          <w:rFonts w:hint="default" w:ascii="Times New Roman" w:hAnsi="Times New Roman" w:eastAsia="仿宋_GB2312" w:cs="Times New Roman"/>
          <w:color w:val="auto"/>
          <w:sz w:val="32"/>
          <w:szCs w:val="32"/>
          <w:highlight w:val="none"/>
        </w:rPr>
        <w:t>单位</w:t>
      </w:r>
      <w:r>
        <w:rPr>
          <w:rFonts w:hint="default" w:ascii="Times New Roman" w:hAnsi="Times New Roman" w:eastAsia="仿宋_GB2312" w:cs="Times New Roman"/>
          <w:color w:val="auto"/>
          <w:sz w:val="32"/>
          <w:szCs w:val="32"/>
          <w:highlight w:val="none"/>
          <w:lang w:eastAsia="zh-CN"/>
        </w:rPr>
        <w:t>在保证单位正常运转和事业发展的前提下，经批准后可以将直接支配的国有资产出借给本单位之外的</w:t>
      </w:r>
      <w:r>
        <w:rPr>
          <w:rFonts w:hint="default" w:ascii="Times New Roman" w:hAnsi="Times New Roman" w:eastAsia="仿宋_GB2312" w:cs="Times New Roman"/>
          <w:color w:val="auto"/>
          <w:sz w:val="32"/>
          <w:szCs w:val="32"/>
          <w:highlight w:val="none"/>
          <w:u w:val="none"/>
          <w:lang w:eastAsia="zh-CN"/>
        </w:rPr>
        <w:t>行政事业单位使</w:t>
      </w:r>
      <w:r>
        <w:rPr>
          <w:rFonts w:hint="default" w:ascii="Times New Roman" w:hAnsi="Times New Roman" w:eastAsia="仿宋_GB2312" w:cs="Times New Roman"/>
          <w:color w:val="auto"/>
          <w:sz w:val="32"/>
          <w:szCs w:val="32"/>
          <w:highlight w:val="none"/>
          <w:lang w:eastAsia="zh-CN"/>
        </w:rPr>
        <w:t>用。</w:t>
      </w:r>
    </w:p>
    <w:p w14:paraId="1EC471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color w:val="auto"/>
          <w:kern w:val="2"/>
          <w:sz w:val="32"/>
          <w:szCs w:val="32"/>
          <w:highlight w:val="none"/>
          <w:lang w:val="en-US" w:eastAsia="zh-CN" w:bidi="ar-SA"/>
        </w:rPr>
        <w:t>行政事业单位部门内借用和不同部门之间借用，且期限30天以内的，由出借单位主管部门批准后实施；除上述外的其他出借情形，由出借单位主管部门报市</w:t>
      </w:r>
      <w:r>
        <w:rPr>
          <w:rFonts w:hint="eastAsia" w:ascii="Times New Roman" w:hAnsi="Times New Roman" w:eastAsia="仿宋_GB2312" w:cs="Times New Roman"/>
          <w:color w:val="auto"/>
          <w:kern w:val="2"/>
          <w:sz w:val="32"/>
          <w:szCs w:val="32"/>
          <w:highlight w:val="none"/>
          <w:lang w:val="en-US" w:eastAsia="zh-CN" w:bidi="ar-SA"/>
        </w:rPr>
        <w:t>财</w:t>
      </w:r>
      <w:r>
        <w:rPr>
          <w:rFonts w:hint="default" w:ascii="Times New Roman" w:hAnsi="Times New Roman" w:eastAsia="仿宋_GB2312" w:cs="Times New Roman"/>
          <w:color w:val="auto"/>
          <w:kern w:val="2"/>
          <w:sz w:val="32"/>
          <w:szCs w:val="32"/>
          <w:highlight w:val="none"/>
          <w:lang w:val="en-US" w:eastAsia="zh-CN" w:bidi="ar-SA"/>
        </w:rPr>
        <w:t>政局批准后实施，其中，涉及办公用房、公务用车的由主管部门同步报</w:t>
      </w:r>
      <w:r>
        <w:rPr>
          <w:rFonts w:hint="eastAsia" w:ascii="Times New Roman" w:hAnsi="Times New Roman" w:eastAsia="仿宋_GB2312" w:cs="Times New Roman"/>
          <w:color w:val="auto"/>
          <w:kern w:val="2"/>
          <w:sz w:val="32"/>
          <w:szCs w:val="32"/>
          <w:highlight w:val="none"/>
          <w:lang w:val="en-US" w:eastAsia="zh-CN" w:bidi="ar-SA"/>
        </w:rPr>
        <w:t>机关事务服务中心</w:t>
      </w:r>
      <w:r>
        <w:rPr>
          <w:rFonts w:hint="default" w:ascii="Times New Roman" w:hAnsi="Times New Roman" w:eastAsia="仿宋_GB2312" w:cs="Times New Roman"/>
          <w:color w:val="auto"/>
          <w:kern w:val="2"/>
          <w:sz w:val="32"/>
          <w:szCs w:val="32"/>
          <w:highlight w:val="none"/>
          <w:lang w:val="en-US" w:eastAsia="zh-CN" w:bidi="ar-SA"/>
        </w:rPr>
        <w:t>审批后实施。</w:t>
      </w:r>
    </w:p>
    <w:p w14:paraId="49E46404">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SA"/>
        </w:rPr>
        <w:t>第三十条</w:t>
      </w:r>
      <w:r>
        <w:rPr>
          <w:rFonts w:hint="default" w:ascii="Times New Roman" w:hAnsi="Times New Roman" w:eastAsia="仿宋_GB2312" w:cs="Times New Roman"/>
          <w:color w:val="auto"/>
          <w:kern w:val="2"/>
          <w:sz w:val="32"/>
          <w:szCs w:val="32"/>
          <w:highlight w:val="none"/>
          <w:lang w:val="en-US" w:eastAsia="zh-CN" w:bidi="ar-SA"/>
        </w:rPr>
        <w:t xml:space="preserve"> </w:t>
      </w:r>
      <w:r>
        <w:rPr>
          <w:rFonts w:hint="default" w:ascii="Times New Roman" w:hAnsi="Times New Roman" w:eastAsia="仿宋_GB2312" w:cs="Times New Roman"/>
          <w:b w:val="0"/>
          <w:bCs/>
          <w:color w:val="auto"/>
          <w:sz w:val="32"/>
          <w:szCs w:val="32"/>
          <w:highlight w:val="none"/>
          <w:lang w:eastAsia="zh-CN"/>
        </w:rPr>
        <w:t>市直行政事业</w:t>
      </w:r>
      <w:r>
        <w:rPr>
          <w:rFonts w:hint="default" w:ascii="Times New Roman" w:hAnsi="Times New Roman" w:eastAsia="仿宋_GB2312" w:cs="Times New Roman"/>
          <w:b w:val="0"/>
          <w:bCs/>
          <w:color w:val="auto"/>
          <w:sz w:val="32"/>
          <w:szCs w:val="32"/>
          <w:highlight w:val="none"/>
        </w:rPr>
        <w:t>单位</w:t>
      </w:r>
      <w:r>
        <w:rPr>
          <w:rFonts w:hint="default" w:ascii="Times New Roman" w:hAnsi="Times New Roman" w:eastAsia="仿宋_GB2312" w:cs="Times New Roman"/>
          <w:b w:val="0"/>
          <w:bCs/>
          <w:color w:val="auto"/>
          <w:sz w:val="32"/>
          <w:szCs w:val="32"/>
          <w:highlight w:val="none"/>
          <w:lang w:eastAsia="zh-CN"/>
        </w:rPr>
        <w:t>国有</w:t>
      </w:r>
      <w:r>
        <w:rPr>
          <w:rFonts w:hint="default" w:ascii="Times New Roman" w:hAnsi="Times New Roman" w:eastAsia="仿宋_GB2312" w:cs="Times New Roman"/>
          <w:b w:val="0"/>
          <w:bCs/>
          <w:color w:val="auto"/>
          <w:sz w:val="32"/>
          <w:szCs w:val="32"/>
          <w:highlight w:val="none"/>
        </w:rPr>
        <w:t>资产有下列情形之一的，不得出租出借：</w:t>
      </w:r>
    </w:p>
    <w:p w14:paraId="704F0E9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（一）已被依法查封、冻结的；</w:t>
      </w:r>
    </w:p>
    <w:p w14:paraId="02EC6B33">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（二）未取得其他共有人同意的；</w:t>
      </w:r>
    </w:p>
    <w:p w14:paraId="0E8F517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color w:val="auto"/>
          <w:sz w:val="32"/>
          <w:szCs w:val="32"/>
          <w:highlight w:val="none"/>
        </w:rPr>
        <w:t>（三）产权有争议的；</w:t>
      </w:r>
    </w:p>
    <w:p w14:paraId="3D8817E9">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val="0"/>
          <w:bCs/>
          <w:color w:val="auto"/>
          <w:sz w:val="32"/>
          <w:szCs w:val="32"/>
          <w:highlight w:val="none"/>
          <w:lang w:eastAsia="zh-CN"/>
        </w:rPr>
        <w:t>（四）</w:t>
      </w:r>
      <w:r>
        <w:rPr>
          <w:rFonts w:hint="default" w:ascii="Times New Roman" w:hAnsi="Times New Roman" w:eastAsia="仿宋_GB2312" w:cs="Times New Roman"/>
          <w:b w:val="0"/>
          <w:bCs/>
          <w:color w:val="auto"/>
          <w:sz w:val="32"/>
          <w:szCs w:val="32"/>
          <w:highlight w:val="none"/>
        </w:rPr>
        <w:t>其他违反法律、法规规定的</w:t>
      </w:r>
      <w:r>
        <w:rPr>
          <w:rFonts w:hint="default" w:ascii="Times New Roman" w:hAnsi="Times New Roman" w:eastAsia="仿宋_GB2312" w:cs="Times New Roman"/>
          <w:color w:val="auto"/>
          <w:kern w:val="2"/>
          <w:sz w:val="32"/>
          <w:szCs w:val="32"/>
          <w:highlight w:val="none"/>
          <w:lang w:val="en-US" w:eastAsia="zh-CN" w:bidi="ar-SA"/>
        </w:rPr>
        <w:t>。</w:t>
      </w:r>
    </w:p>
    <w:p w14:paraId="6CF1C84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第三十一条</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lang w:eastAsia="zh-CN"/>
        </w:rPr>
        <w:t>行政事业</w:t>
      </w:r>
      <w:r>
        <w:rPr>
          <w:rFonts w:hint="default" w:ascii="Times New Roman" w:hAnsi="Times New Roman" w:eastAsia="仿宋_GB2312" w:cs="Times New Roman"/>
          <w:b w:val="0"/>
          <w:bCs/>
          <w:color w:val="auto"/>
          <w:sz w:val="32"/>
          <w:szCs w:val="32"/>
          <w:highlight w:val="none"/>
        </w:rPr>
        <w:t>单位申请</w:t>
      </w:r>
      <w:r>
        <w:rPr>
          <w:rFonts w:hint="default" w:ascii="Times New Roman" w:hAnsi="Times New Roman" w:eastAsia="仿宋_GB2312" w:cs="Times New Roman"/>
          <w:b w:val="0"/>
          <w:bCs/>
          <w:color w:val="auto"/>
          <w:sz w:val="32"/>
          <w:szCs w:val="32"/>
          <w:highlight w:val="none"/>
          <w:lang w:eastAsia="zh-CN"/>
        </w:rPr>
        <w:t>国有</w:t>
      </w:r>
      <w:r>
        <w:rPr>
          <w:rFonts w:hint="default" w:ascii="Times New Roman" w:hAnsi="Times New Roman" w:eastAsia="仿宋_GB2312" w:cs="Times New Roman"/>
          <w:b w:val="0"/>
          <w:bCs/>
          <w:color w:val="auto"/>
          <w:sz w:val="32"/>
          <w:szCs w:val="32"/>
          <w:highlight w:val="none"/>
        </w:rPr>
        <w:t>资产出租</w:t>
      </w:r>
      <w:r>
        <w:rPr>
          <w:rFonts w:hint="default" w:ascii="Times New Roman" w:hAnsi="Times New Roman" w:eastAsia="仿宋_GB2312" w:cs="Times New Roman"/>
          <w:b w:val="0"/>
          <w:bCs/>
          <w:color w:val="auto"/>
          <w:sz w:val="32"/>
          <w:szCs w:val="32"/>
          <w:highlight w:val="none"/>
          <w:lang w:eastAsia="zh-CN"/>
        </w:rPr>
        <w:t>出借</w:t>
      </w:r>
      <w:r>
        <w:rPr>
          <w:rFonts w:hint="default" w:ascii="Times New Roman" w:hAnsi="Times New Roman" w:eastAsia="仿宋_GB2312" w:cs="Times New Roman"/>
          <w:b w:val="0"/>
          <w:bCs/>
          <w:color w:val="auto"/>
          <w:sz w:val="32"/>
          <w:szCs w:val="32"/>
          <w:highlight w:val="none"/>
        </w:rPr>
        <w:t>的，应当提交以下材料，并对材料的真实性、有效性、准确性负责：</w:t>
      </w:r>
    </w:p>
    <w:p w14:paraId="6739057B">
      <w:pPr>
        <w:keepNext w:val="0"/>
        <w:keepLines w:val="0"/>
        <w:pageBreakBefore w:val="0"/>
        <w:widowControl w:val="0"/>
        <w:numPr>
          <w:ilvl w:val="0"/>
          <w:numId w:val="3"/>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val="0"/>
          <w:bCs/>
          <w:color w:val="auto"/>
          <w:kern w:val="0"/>
          <w:sz w:val="32"/>
          <w:szCs w:val="32"/>
          <w:highlight w:val="none"/>
          <w:lang w:bidi="ar"/>
        </w:rPr>
        <w:t>申请文件及单位内部决策文件；</w:t>
      </w:r>
    </w:p>
    <w:p w14:paraId="00787D61">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val="0"/>
          <w:bCs/>
          <w:color w:val="auto"/>
          <w:kern w:val="0"/>
          <w:sz w:val="32"/>
          <w:szCs w:val="32"/>
          <w:highlight w:val="none"/>
          <w:lang w:bidi="ar"/>
        </w:rPr>
        <w:t>（二）国有资产价值凭证及产权证明，</w:t>
      </w:r>
      <w:r>
        <w:rPr>
          <w:rFonts w:hint="default" w:ascii="Times New Roman" w:hAnsi="Times New Roman" w:eastAsia="仿宋_GB2312" w:cs="Times New Roman"/>
          <w:b w:val="0"/>
          <w:bCs/>
          <w:color w:val="auto"/>
          <w:kern w:val="0"/>
          <w:sz w:val="32"/>
          <w:szCs w:val="32"/>
          <w:highlight w:val="none"/>
          <w:lang w:eastAsia="zh-CN" w:bidi="ar"/>
        </w:rPr>
        <w:t>如</w:t>
      </w:r>
      <w:r>
        <w:rPr>
          <w:rFonts w:hint="default" w:ascii="Times New Roman" w:hAnsi="Times New Roman" w:eastAsia="仿宋_GB2312" w:cs="Times New Roman"/>
          <w:b w:val="0"/>
          <w:bCs/>
          <w:color w:val="auto"/>
          <w:kern w:val="0"/>
          <w:sz w:val="32"/>
          <w:szCs w:val="32"/>
          <w:highlight w:val="none"/>
          <w:lang w:bidi="ar"/>
        </w:rPr>
        <w:t>购货发票或者收据、记账凭证、资产信息卡、国有土地使用权证、房屋所有权证、不动产权证、专利证、著作权证等凭据的复印件</w:t>
      </w:r>
      <w:r>
        <w:rPr>
          <w:rFonts w:hint="default" w:ascii="Times New Roman" w:hAnsi="Times New Roman" w:eastAsia="仿宋_GB2312" w:cs="Times New Roman"/>
          <w:b w:val="0"/>
          <w:bCs/>
          <w:color w:val="auto"/>
          <w:kern w:val="0"/>
          <w:sz w:val="32"/>
          <w:szCs w:val="32"/>
          <w:highlight w:val="none"/>
          <w:lang w:eastAsia="zh-CN" w:bidi="ar"/>
        </w:rPr>
        <w:t>，并</w:t>
      </w:r>
      <w:r>
        <w:rPr>
          <w:rFonts w:hint="default" w:ascii="Times New Roman" w:hAnsi="Times New Roman" w:eastAsia="仿宋_GB2312" w:cs="Times New Roman"/>
          <w:b w:val="0"/>
          <w:bCs/>
          <w:color w:val="auto"/>
          <w:kern w:val="0"/>
          <w:sz w:val="32"/>
          <w:szCs w:val="32"/>
          <w:highlight w:val="none"/>
          <w:lang w:bidi="ar"/>
        </w:rPr>
        <w:t>加盖单位公章；</w:t>
      </w:r>
    </w:p>
    <w:p w14:paraId="2E54F30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val="0"/>
          <w:bCs/>
          <w:color w:val="auto"/>
          <w:kern w:val="0"/>
          <w:sz w:val="32"/>
          <w:szCs w:val="32"/>
          <w:highlight w:val="none"/>
          <w:lang w:bidi="ar"/>
        </w:rPr>
        <w:t>（三）</w:t>
      </w:r>
      <w:r>
        <w:rPr>
          <w:rFonts w:hint="default" w:ascii="Times New Roman" w:hAnsi="Times New Roman" w:eastAsia="仿宋_GB2312" w:cs="Times New Roman"/>
          <w:b w:val="0"/>
          <w:bCs/>
          <w:color w:val="auto"/>
          <w:kern w:val="0"/>
          <w:sz w:val="32"/>
          <w:szCs w:val="32"/>
          <w:highlight w:val="none"/>
          <w:lang w:eastAsia="zh-CN" w:bidi="ar"/>
        </w:rPr>
        <w:t>出租资产评估报告；</w:t>
      </w:r>
    </w:p>
    <w:p w14:paraId="31D602AE">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val="0"/>
          <w:bCs/>
          <w:color w:val="auto"/>
          <w:kern w:val="0"/>
          <w:sz w:val="32"/>
          <w:szCs w:val="32"/>
          <w:highlight w:val="none"/>
          <w:lang w:eastAsia="zh-CN" w:bidi="ar"/>
        </w:rPr>
        <w:t>（四）拟承租方（以协议方式出租的）、承借方的单位法人证书或者企业营业执照、个人身份证复印件等；</w:t>
      </w:r>
    </w:p>
    <w:p w14:paraId="4B8DDA0F">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val="0"/>
          <w:bCs/>
          <w:color w:val="auto"/>
          <w:kern w:val="0"/>
          <w:sz w:val="32"/>
          <w:szCs w:val="32"/>
          <w:highlight w:val="none"/>
          <w:lang w:eastAsia="zh-CN" w:bidi="ar"/>
        </w:rPr>
        <w:t>（五）</w:t>
      </w:r>
      <w:r>
        <w:rPr>
          <w:rFonts w:hint="default" w:ascii="Times New Roman" w:hAnsi="Times New Roman" w:eastAsia="仿宋_GB2312" w:cs="Times New Roman"/>
          <w:b w:val="0"/>
          <w:bCs/>
          <w:color w:val="auto"/>
          <w:kern w:val="0"/>
          <w:sz w:val="32"/>
          <w:szCs w:val="32"/>
          <w:highlight w:val="none"/>
          <w:lang w:bidi="ar"/>
        </w:rPr>
        <w:t>可行性分析报告</w:t>
      </w:r>
      <w:r>
        <w:rPr>
          <w:rFonts w:hint="eastAsia" w:ascii="Times New Roman" w:hAnsi="Times New Roman" w:eastAsia="仿宋_GB2312" w:cs="Times New Roman"/>
          <w:b w:val="0"/>
          <w:bCs/>
          <w:color w:val="auto"/>
          <w:kern w:val="0"/>
          <w:sz w:val="32"/>
          <w:szCs w:val="32"/>
          <w:highlight w:val="none"/>
          <w:lang w:eastAsia="zh-CN" w:bidi="ar"/>
        </w:rPr>
        <w:t>，</w:t>
      </w:r>
      <w:r>
        <w:rPr>
          <w:rFonts w:hint="default" w:ascii="Times New Roman" w:hAnsi="Times New Roman" w:eastAsia="仿宋_GB2312" w:cs="Times New Roman"/>
          <w:b w:val="0"/>
          <w:bCs/>
          <w:color w:val="auto"/>
          <w:kern w:val="0"/>
          <w:sz w:val="32"/>
          <w:szCs w:val="32"/>
          <w:highlight w:val="none"/>
          <w:lang w:eastAsia="zh-CN" w:bidi="ar"/>
        </w:rPr>
        <w:t>包括出租出借的必要性、可行性及风险分析，拟出租出借国有资产的基本情况</w:t>
      </w:r>
      <w:r>
        <w:rPr>
          <w:rFonts w:hint="eastAsia" w:ascii="Times New Roman" w:hAnsi="Times New Roman" w:eastAsia="仿宋_GB2312" w:cs="Times New Roman"/>
          <w:b w:val="0"/>
          <w:bCs/>
          <w:color w:val="auto"/>
          <w:kern w:val="0"/>
          <w:sz w:val="32"/>
          <w:szCs w:val="32"/>
          <w:highlight w:val="none"/>
          <w:lang w:eastAsia="zh-CN" w:bidi="ar"/>
        </w:rPr>
        <w:t>，</w:t>
      </w:r>
      <w:r>
        <w:rPr>
          <w:rFonts w:hint="default" w:ascii="Times New Roman" w:hAnsi="Times New Roman" w:eastAsia="仿宋_GB2312" w:cs="Times New Roman"/>
          <w:b w:val="0"/>
          <w:bCs/>
          <w:color w:val="auto"/>
          <w:kern w:val="0"/>
          <w:sz w:val="32"/>
          <w:szCs w:val="32"/>
          <w:highlight w:val="none"/>
          <w:lang w:eastAsia="zh-CN" w:bidi="ar"/>
        </w:rPr>
        <w:t>并对是否租用借用同类资产情况作出说明</w:t>
      </w:r>
      <w:r>
        <w:rPr>
          <w:rFonts w:hint="default" w:ascii="Times New Roman" w:hAnsi="Times New Roman" w:eastAsia="仿宋_GB2312" w:cs="Times New Roman"/>
          <w:b w:val="0"/>
          <w:bCs/>
          <w:color w:val="auto"/>
          <w:kern w:val="0"/>
          <w:sz w:val="32"/>
          <w:szCs w:val="32"/>
          <w:highlight w:val="none"/>
          <w:lang w:bidi="ar"/>
        </w:rPr>
        <w:t>；</w:t>
      </w:r>
    </w:p>
    <w:p w14:paraId="5B62E1EA">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val="0"/>
          <w:bCs/>
          <w:color w:val="auto"/>
          <w:kern w:val="0"/>
          <w:sz w:val="32"/>
          <w:szCs w:val="32"/>
          <w:highlight w:val="none"/>
          <w:lang w:val="en-US" w:eastAsia="zh-CN" w:bidi="ar"/>
        </w:rPr>
        <w:t>（六）</w:t>
      </w:r>
      <w:r>
        <w:rPr>
          <w:rFonts w:hint="default" w:ascii="Times New Roman" w:hAnsi="Times New Roman" w:eastAsia="仿宋_GB2312" w:cs="Times New Roman"/>
          <w:b w:val="0"/>
          <w:bCs/>
          <w:color w:val="auto"/>
          <w:kern w:val="0"/>
          <w:sz w:val="32"/>
          <w:szCs w:val="32"/>
          <w:highlight w:val="none"/>
          <w:lang w:bidi="ar"/>
        </w:rPr>
        <w:t>其他材料</w:t>
      </w:r>
      <w:r>
        <w:rPr>
          <w:rFonts w:hint="default" w:ascii="Times New Roman" w:hAnsi="Times New Roman" w:eastAsia="仿宋_GB2312" w:cs="Times New Roman"/>
          <w:color w:val="auto"/>
          <w:sz w:val="32"/>
          <w:szCs w:val="32"/>
          <w:highlight w:val="none"/>
          <w:lang w:val="en-US" w:eastAsia="zh-CN"/>
        </w:rPr>
        <w:t>。</w:t>
      </w:r>
    </w:p>
    <w:p w14:paraId="655C4E34">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val="en-US" w:eastAsia="zh-CN"/>
        </w:rPr>
        <w:t>三十二</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val="0"/>
          <w:bCs/>
          <w:color w:val="auto"/>
          <w:sz w:val="32"/>
          <w:szCs w:val="32"/>
          <w:highlight w:val="none"/>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u w:val="none"/>
          <w:lang w:eastAsia="zh-CN"/>
        </w:rPr>
        <w:t>行政事业</w:t>
      </w:r>
      <w:r>
        <w:rPr>
          <w:rFonts w:hint="default" w:ascii="Times New Roman" w:hAnsi="Times New Roman" w:eastAsia="仿宋_GB2312" w:cs="Times New Roman"/>
          <w:b w:val="0"/>
          <w:bCs/>
          <w:color w:val="auto"/>
          <w:sz w:val="32"/>
          <w:szCs w:val="32"/>
          <w:highlight w:val="none"/>
          <w:u w:val="none"/>
        </w:rPr>
        <w:t>单位出租合同变更</w:t>
      </w:r>
      <w:r>
        <w:rPr>
          <w:rFonts w:hint="default" w:ascii="Times New Roman" w:hAnsi="Times New Roman" w:eastAsia="仿宋_GB2312" w:cs="Times New Roman"/>
          <w:b w:val="0"/>
          <w:bCs/>
          <w:color w:val="auto"/>
          <w:sz w:val="32"/>
          <w:szCs w:val="32"/>
          <w:highlight w:val="none"/>
          <w:u w:val="none"/>
          <w:lang w:eastAsia="zh-CN"/>
        </w:rPr>
        <w:t>或</w:t>
      </w:r>
      <w:r>
        <w:rPr>
          <w:rFonts w:hint="default" w:ascii="Times New Roman" w:hAnsi="Times New Roman" w:eastAsia="仿宋_GB2312" w:cs="Times New Roman"/>
          <w:b w:val="0"/>
          <w:bCs/>
          <w:color w:val="auto"/>
          <w:sz w:val="32"/>
          <w:szCs w:val="32"/>
          <w:highlight w:val="none"/>
          <w:u w:val="none"/>
        </w:rPr>
        <w:t>提前终止</w:t>
      </w:r>
      <w:r>
        <w:rPr>
          <w:rFonts w:hint="default" w:ascii="Times New Roman" w:hAnsi="Times New Roman" w:eastAsia="仿宋_GB2312" w:cs="Times New Roman"/>
          <w:b w:val="0"/>
          <w:bCs/>
          <w:color w:val="auto"/>
          <w:sz w:val="32"/>
          <w:szCs w:val="32"/>
          <w:highlight w:val="none"/>
          <w:u w:val="none"/>
          <w:lang w:eastAsia="zh-CN"/>
        </w:rPr>
        <w:t>的</w:t>
      </w:r>
      <w:r>
        <w:rPr>
          <w:rFonts w:hint="eastAsia" w:ascii="Times New Roman" w:hAnsi="Times New Roman" w:eastAsia="仿宋_GB2312" w:cs="Times New Roman"/>
          <w:b w:val="0"/>
          <w:bCs/>
          <w:color w:val="auto"/>
          <w:sz w:val="32"/>
          <w:szCs w:val="32"/>
          <w:highlight w:val="none"/>
          <w:u w:val="none"/>
          <w:lang w:eastAsia="zh-CN"/>
        </w:rPr>
        <w:t>，</w:t>
      </w:r>
      <w:r>
        <w:rPr>
          <w:rFonts w:hint="default" w:ascii="Times New Roman" w:hAnsi="Times New Roman" w:eastAsia="仿宋_GB2312" w:cs="Times New Roman"/>
          <w:b w:val="0"/>
          <w:bCs/>
          <w:color w:val="auto"/>
          <w:sz w:val="32"/>
          <w:szCs w:val="32"/>
          <w:highlight w:val="none"/>
          <w:u w:val="none"/>
        </w:rPr>
        <w:t>应当</w:t>
      </w:r>
      <w:r>
        <w:rPr>
          <w:rFonts w:hint="default" w:ascii="Times New Roman" w:hAnsi="Times New Roman" w:eastAsia="仿宋_GB2312" w:cs="Times New Roman"/>
          <w:b w:val="0"/>
          <w:bCs/>
          <w:color w:val="auto"/>
          <w:sz w:val="32"/>
          <w:szCs w:val="32"/>
          <w:highlight w:val="none"/>
          <w:u w:val="none"/>
          <w:lang w:eastAsia="zh-CN"/>
        </w:rPr>
        <w:t>报原审批部门备案</w:t>
      </w:r>
      <w:r>
        <w:rPr>
          <w:rFonts w:hint="default" w:ascii="Times New Roman" w:hAnsi="Times New Roman" w:eastAsia="仿宋_GB2312" w:cs="Times New Roman"/>
          <w:b w:val="0"/>
          <w:bCs/>
          <w:color w:val="auto"/>
          <w:sz w:val="32"/>
          <w:szCs w:val="32"/>
          <w:highlight w:val="none"/>
          <w:u w:val="none"/>
        </w:rPr>
        <w:t>。合</w:t>
      </w:r>
      <w:r>
        <w:rPr>
          <w:rFonts w:hint="default" w:ascii="Times New Roman" w:hAnsi="Times New Roman" w:eastAsia="仿宋_GB2312" w:cs="Times New Roman"/>
          <w:b w:val="0"/>
          <w:bCs/>
          <w:color w:val="auto"/>
          <w:sz w:val="32"/>
          <w:szCs w:val="32"/>
          <w:highlight w:val="none"/>
        </w:rPr>
        <w:t>同期间，承租方（人）不得转租</w:t>
      </w:r>
      <w:r>
        <w:rPr>
          <w:rFonts w:hint="default" w:ascii="Times New Roman" w:hAnsi="Times New Roman" w:eastAsia="仿宋_GB2312" w:cs="Times New Roman"/>
          <w:b w:val="0"/>
          <w:bCs/>
          <w:color w:val="auto"/>
          <w:sz w:val="32"/>
          <w:szCs w:val="32"/>
          <w:highlight w:val="none"/>
          <w:lang w:eastAsia="zh-CN"/>
        </w:rPr>
        <w:t>或</w:t>
      </w:r>
      <w:r>
        <w:rPr>
          <w:rFonts w:hint="default" w:ascii="Times New Roman" w:hAnsi="Times New Roman" w:eastAsia="仿宋_GB2312" w:cs="Times New Roman"/>
          <w:b w:val="0"/>
          <w:bCs/>
          <w:color w:val="auto"/>
          <w:sz w:val="32"/>
          <w:szCs w:val="32"/>
          <w:highlight w:val="none"/>
        </w:rPr>
        <w:t>转借。合同到期拟继续对外出租的</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应重新</w:t>
      </w:r>
      <w:r>
        <w:rPr>
          <w:rFonts w:hint="default" w:ascii="Times New Roman" w:hAnsi="Times New Roman" w:eastAsia="仿宋_GB2312" w:cs="Times New Roman"/>
          <w:b w:val="0"/>
          <w:bCs/>
          <w:color w:val="auto"/>
          <w:sz w:val="32"/>
          <w:szCs w:val="32"/>
          <w:highlight w:val="none"/>
          <w:lang w:eastAsia="zh-CN"/>
        </w:rPr>
        <w:t>履行审批</w:t>
      </w:r>
      <w:r>
        <w:rPr>
          <w:rFonts w:hint="default" w:ascii="Times New Roman" w:hAnsi="Times New Roman" w:eastAsia="仿宋_GB2312" w:cs="Times New Roman"/>
          <w:b w:val="0"/>
          <w:bCs/>
          <w:color w:val="auto"/>
          <w:sz w:val="32"/>
          <w:szCs w:val="32"/>
          <w:highlight w:val="none"/>
        </w:rPr>
        <w:t>手续</w:t>
      </w:r>
      <w:r>
        <w:rPr>
          <w:rFonts w:hint="default" w:ascii="Times New Roman" w:hAnsi="Times New Roman" w:eastAsia="仿宋_GB2312" w:cs="Times New Roman"/>
          <w:b w:val="0"/>
          <w:bCs/>
          <w:color w:val="auto"/>
          <w:sz w:val="32"/>
          <w:szCs w:val="32"/>
          <w:highlight w:val="none"/>
          <w:lang w:eastAsia="zh-CN"/>
        </w:rPr>
        <w:t>。</w:t>
      </w:r>
      <w:r>
        <w:rPr>
          <w:rFonts w:hint="default" w:ascii="Times New Roman" w:hAnsi="Times New Roman" w:eastAsia="仿宋_GB2312" w:cs="Times New Roman"/>
          <w:b w:val="0"/>
          <w:bCs/>
          <w:color w:val="auto"/>
          <w:sz w:val="32"/>
          <w:szCs w:val="32"/>
          <w:highlight w:val="none"/>
        </w:rPr>
        <w:t>在新的招租过程中，同等条件下，原承租方享有优先承租权</w:t>
      </w:r>
      <w:r>
        <w:rPr>
          <w:rFonts w:hint="default" w:ascii="Times New Roman" w:hAnsi="Times New Roman" w:eastAsia="仿宋_GB2312" w:cs="Times New Roman"/>
          <w:b w:val="0"/>
          <w:bCs/>
          <w:color w:val="auto"/>
          <w:sz w:val="32"/>
          <w:szCs w:val="32"/>
          <w:highlight w:val="none"/>
          <w:lang w:eastAsia="zh-CN"/>
        </w:rPr>
        <w:t>。</w:t>
      </w:r>
    </w:p>
    <w:p w14:paraId="306FD8F5">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kern w:val="2"/>
          <w:sz w:val="32"/>
          <w:szCs w:val="32"/>
          <w:highlight w:val="none"/>
          <w:lang w:val="en-US" w:eastAsia="zh-CN" w:bidi="ar-SA"/>
        </w:rPr>
      </w:pPr>
      <w:r>
        <w:rPr>
          <w:rFonts w:hint="default" w:ascii="Times New Roman" w:hAnsi="Times New Roman" w:eastAsia="仿宋_GB2312" w:cs="Times New Roman"/>
          <w:b/>
          <w:bCs w:val="0"/>
          <w:color w:val="auto"/>
          <w:kern w:val="2"/>
          <w:sz w:val="32"/>
          <w:szCs w:val="32"/>
          <w:highlight w:val="none"/>
          <w:lang w:val="en-US" w:eastAsia="zh-CN" w:bidi="ar-SA"/>
        </w:rPr>
        <w:t>第三十三条</w:t>
      </w:r>
      <w:r>
        <w:rPr>
          <w:rFonts w:hint="default" w:ascii="Times New Roman" w:hAnsi="Times New Roman" w:eastAsia="仿宋_GB2312" w:cs="Times New Roman"/>
          <w:b w:val="0"/>
          <w:bCs/>
          <w:color w:val="auto"/>
          <w:kern w:val="2"/>
          <w:sz w:val="32"/>
          <w:szCs w:val="32"/>
          <w:highlight w:val="none"/>
          <w:lang w:val="en-US" w:eastAsia="zh-CN" w:bidi="ar-SA"/>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kern w:val="2"/>
          <w:sz w:val="32"/>
          <w:szCs w:val="32"/>
          <w:highlight w:val="none"/>
          <w:lang w:val="en-US" w:eastAsia="zh-CN" w:bidi="ar-SA"/>
        </w:rPr>
        <w:t>行政事业单位应对出租的资产实行专项管理，在完成国有资产出租审批后，应严格按照规定办理招租、合同签订、</w:t>
      </w:r>
      <w:r>
        <w:rPr>
          <w:rFonts w:hint="default" w:ascii="Times New Roman" w:hAnsi="Times New Roman" w:eastAsia="仿宋_GB2312" w:cs="Times New Roman"/>
          <w:b w:val="0"/>
          <w:bCs/>
          <w:color w:val="auto"/>
          <w:kern w:val="2"/>
          <w:sz w:val="32"/>
          <w:szCs w:val="32"/>
          <w:highlight w:val="none"/>
          <w:u w:val="none"/>
          <w:lang w:val="en-US" w:eastAsia="zh-CN" w:bidi="ar-SA"/>
        </w:rPr>
        <w:t>台账登记、租金上缴等</w:t>
      </w:r>
      <w:r>
        <w:rPr>
          <w:rFonts w:hint="default" w:ascii="Times New Roman" w:hAnsi="Times New Roman" w:eastAsia="仿宋_GB2312" w:cs="Times New Roman"/>
          <w:b w:val="0"/>
          <w:bCs/>
          <w:color w:val="auto"/>
          <w:kern w:val="2"/>
          <w:sz w:val="32"/>
          <w:szCs w:val="32"/>
          <w:highlight w:val="none"/>
          <w:lang w:val="en-US" w:eastAsia="zh-CN" w:bidi="ar-SA"/>
        </w:rPr>
        <w:t>具体手续，以及在预算管理一体化系统录入等相关工作。</w:t>
      </w:r>
    </w:p>
    <w:p w14:paraId="34E946AB">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sz w:val="32"/>
          <w:szCs w:val="32"/>
          <w:highlight w:val="none"/>
          <w:u w:val="none"/>
          <w:lang w:eastAsia="zh-CN"/>
        </w:rPr>
      </w:pPr>
      <w:r>
        <w:rPr>
          <w:rFonts w:hint="default" w:ascii="Times New Roman" w:hAnsi="Times New Roman" w:eastAsia="仿宋_GB2312" w:cs="Times New Roman"/>
          <w:b/>
          <w:bCs w:val="0"/>
          <w:color w:val="auto"/>
          <w:sz w:val="32"/>
          <w:szCs w:val="32"/>
          <w:highlight w:val="none"/>
          <w:lang w:eastAsia="zh-CN"/>
        </w:rPr>
        <w:t>第三十四条</w:t>
      </w:r>
      <w:r>
        <w:rPr>
          <w:rFonts w:hint="default" w:ascii="Times New Roman" w:hAnsi="Times New Roman" w:eastAsia="仿宋_GB2312" w:cs="Times New Roman"/>
          <w:b/>
          <w:bCs w:val="0"/>
          <w:color w:val="auto"/>
          <w:sz w:val="32"/>
          <w:szCs w:val="32"/>
          <w:highlight w:val="none"/>
          <w:lang w:val="en-US" w:eastAsia="zh-CN"/>
        </w:rPr>
        <w:t xml:space="preserve"> </w:t>
      </w:r>
      <w:r>
        <w:rPr>
          <w:rFonts w:hint="default" w:ascii="Times New Roman" w:hAnsi="Times New Roman" w:eastAsia="仿宋_GB2312" w:cs="Times New Roman"/>
          <w:b w:val="0"/>
          <w:bCs/>
          <w:color w:val="auto"/>
          <w:sz w:val="32"/>
          <w:szCs w:val="32"/>
          <w:highlight w:val="none"/>
          <w:u w:val="none"/>
          <w:lang w:val="en-US" w:eastAsia="zh-CN"/>
        </w:rPr>
        <w:t>除国家另有规定外，</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u w:val="none"/>
          <w:lang w:val="en-US" w:eastAsia="zh-CN"/>
        </w:rPr>
        <w:t>行政事业单位整合低效、闲置资产，确需</w:t>
      </w:r>
      <w:r>
        <w:rPr>
          <w:rFonts w:hint="default" w:ascii="Times New Roman" w:hAnsi="Times New Roman" w:eastAsia="仿宋_GB2312" w:cs="Times New Roman"/>
          <w:b w:val="0"/>
          <w:bCs/>
          <w:color w:val="auto"/>
          <w:sz w:val="32"/>
          <w:szCs w:val="32"/>
          <w:highlight w:val="none"/>
          <w:u w:val="none"/>
          <w:lang w:eastAsia="zh-CN"/>
        </w:rPr>
        <w:t>委托专业机构管理或者授权专业机构有偿使用的，原则上以公开竞争方式进行，比照出租有关规定履行审批手续。</w:t>
      </w:r>
    </w:p>
    <w:p w14:paraId="45782A7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textAlignment w:val="auto"/>
        <w:outlineLvl w:val="9"/>
        <w:rPr>
          <w:rFonts w:hint="default"/>
          <w:lang w:val="en-US" w:eastAsia="zh-CN"/>
        </w:rPr>
      </w:pPr>
    </w:p>
    <w:p w14:paraId="36EDE267">
      <w:pPr>
        <w:keepNext w:val="0"/>
        <w:keepLines w:val="0"/>
        <w:pageBreakBefore w:val="0"/>
        <w:widowControl w:val="0"/>
        <w:numPr>
          <w:ilvl w:val="0"/>
          <w:numId w:val="2"/>
        </w:numPr>
        <w:suppressAutoHyphens/>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outlineLvl w:val="9"/>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对外投资</w:t>
      </w:r>
    </w:p>
    <w:p w14:paraId="68E626C0">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US" w:eastAsia="zh-CN" w:bidi="ar"/>
        </w:rPr>
        <w:t xml:space="preserve">第三十五条 </w:t>
      </w:r>
      <w:r>
        <w:rPr>
          <w:rFonts w:hint="default" w:ascii="Times New Roman" w:hAnsi="Times New Roman" w:eastAsia="仿宋_GB2312" w:cs="Times New Roman"/>
          <w:color w:val="auto"/>
          <w:kern w:val="2"/>
          <w:sz w:val="32"/>
          <w:szCs w:val="32"/>
          <w:highlight w:val="none"/>
          <w:lang w:val="en-US" w:eastAsia="zh-CN" w:bidi="ar-SA"/>
        </w:rPr>
        <w:t>除国家另有规定外，</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kern w:val="2"/>
          <w:sz w:val="32"/>
          <w:szCs w:val="32"/>
          <w:highlight w:val="none"/>
          <w:lang w:val="en-US" w:eastAsia="zh-CN" w:bidi="ar-SA"/>
        </w:rPr>
        <w:t>行政单位不得以任何形式将国有资产用于对外投资或者设立营利性组织，不得利用国有资产对外担保。</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kern w:val="0"/>
          <w:sz w:val="32"/>
          <w:szCs w:val="32"/>
          <w:highlight w:val="none"/>
          <w:u w:val="none"/>
          <w:lang w:val="en-US" w:eastAsia="zh-CN" w:bidi="ar"/>
        </w:rPr>
        <w:t>事业单位原则上不得利用房屋类国有资产对外投资。</w:t>
      </w:r>
    </w:p>
    <w:p w14:paraId="279EE864">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val="en-US" w:eastAsia="zh-CN" w:bidi="ar"/>
        </w:rPr>
      </w:pPr>
      <w:r>
        <w:rPr>
          <w:rFonts w:hint="default" w:ascii="Times New Roman" w:hAnsi="Times New Roman" w:eastAsia="仿宋_GB2312" w:cs="Times New Roman"/>
          <w:b/>
          <w:bCs w:val="0"/>
          <w:color w:val="auto"/>
          <w:kern w:val="0"/>
          <w:sz w:val="32"/>
          <w:szCs w:val="32"/>
          <w:highlight w:val="none"/>
          <w:lang w:val="en-US" w:eastAsia="zh-CN" w:bidi="ar"/>
        </w:rPr>
        <w:t>第三十六条</w:t>
      </w:r>
      <w:r>
        <w:rPr>
          <w:rFonts w:hint="default" w:ascii="Times New Roman" w:hAnsi="Times New Roman" w:eastAsia="黑体"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eastAsia="zh-CN"/>
        </w:rPr>
        <w:t>市直</w:t>
      </w:r>
      <w:r>
        <w:rPr>
          <w:rFonts w:hint="default" w:ascii="Times New Roman" w:hAnsi="Times New Roman" w:eastAsia="仿宋_GB2312" w:cs="Times New Roman"/>
          <w:color w:val="auto"/>
          <w:sz w:val="32"/>
          <w:szCs w:val="32"/>
          <w:highlight w:val="none"/>
        </w:rPr>
        <w:t>事业单位应当严格控制对外投资，原则上不得直接投资新设或者新入股企业。确需新设或者新入股企业的，应当经可行性研究和集体决策，</w:t>
      </w:r>
      <w:r>
        <w:rPr>
          <w:rFonts w:hint="default" w:ascii="Times New Roman" w:hAnsi="Times New Roman" w:eastAsia="仿宋_GB2312" w:cs="Times New Roman"/>
          <w:b w:val="0"/>
          <w:bCs/>
          <w:color w:val="auto"/>
          <w:kern w:val="0"/>
          <w:sz w:val="32"/>
          <w:szCs w:val="32"/>
          <w:highlight w:val="none"/>
          <w:lang w:val="en-US" w:eastAsia="zh-CN" w:bidi="ar"/>
        </w:rPr>
        <w:t>按照本办法第三十八条规定的权限履行审批手续。</w:t>
      </w:r>
    </w:p>
    <w:p w14:paraId="6E415D74">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bCs w:val="0"/>
          <w:color w:val="auto"/>
          <w:kern w:val="0"/>
          <w:sz w:val="32"/>
          <w:szCs w:val="32"/>
          <w:highlight w:val="none"/>
          <w:lang w:eastAsia="zh-CN" w:bidi="ar"/>
        </w:rPr>
        <w:t>第三十七条</w:t>
      </w:r>
      <w:r>
        <w:rPr>
          <w:rFonts w:hint="default" w:ascii="Times New Roman" w:hAnsi="Times New Roman" w:eastAsia="仿宋_GB2312" w:cs="Times New Roman"/>
          <w:b w:val="0"/>
          <w:bCs/>
          <w:color w:val="auto"/>
          <w:kern w:val="0"/>
          <w:sz w:val="32"/>
          <w:szCs w:val="32"/>
          <w:highlight w:val="none"/>
          <w:lang w:val="en" w:eastAsia="zh-CN" w:bidi="ar"/>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kern w:val="0"/>
          <w:sz w:val="32"/>
          <w:szCs w:val="32"/>
          <w:highlight w:val="none"/>
          <w:lang w:val="en-US" w:eastAsia="zh-CN" w:bidi="ar"/>
        </w:rPr>
        <w:t>事业单位</w:t>
      </w:r>
      <w:r>
        <w:rPr>
          <w:rFonts w:hint="default" w:ascii="Times New Roman" w:hAnsi="Times New Roman" w:eastAsia="仿宋_GB2312" w:cs="Times New Roman"/>
          <w:b w:val="0"/>
          <w:bCs/>
          <w:color w:val="auto"/>
          <w:kern w:val="0"/>
          <w:sz w:val="32"/>
          <w:szCs w:val="32"/>
          <w:highlight w:val="none"/>
          <w:lang w:bidi="ar"/>
        </w:rPr>
        <w:t>不得从事以下对外投资事项：</w:t>
      </w:r>
      <w:r>
        <w:rPr>
          <w:rFonts w:hint="default" w:ascii="Times New Roman" w:hAnsi="Times New Roman" w:eastAsia="仿宋_GB2312" w:cs="Times New Roman"/>
          <w:b w:val="0"/>
          <w:bCs/>
          <w:color w:val="auto"/>
          <w:kern w:val="0"/>
          <w:sz w:val="32"/>
          <w:szCs w:val="32"/>
          <w:highlight w:val="none"/>
          <w:lang w:bidi="ar"/>
        </w:rPr>
        <w:br w:type="textWrapping"/>
      </w:r>
      <w:r>
        <w:rPr>
          <w:rFonts w:hint="default" w:ascii="Times New Roman" w:hAnsi="Times New Roman" w:eastAsia="仿宋_GB2312" w:cs="Times New Roman"/>
          <w:b w:val="0"/>
          <w:bCs/>
          <w:color w:val="auto"/>
          <w:kern w:val="0"/>
          <w:sz w:val="32"/>
          <w:szCs w:val="32"/>
          <w:highlight w:val="none"/>
          <w:lang w:val="en-US" w:eastAsia="zh-CN" w:bidi="ar"/>
        </w:rPr>
        <w:t xml:space="preserve">    </w:t>
      </w:r>
      <w:r>
        <w:rPr>
          <w:rFonts w:hint="default" w:ascii="Times New Roman" w:hAnsi="Times New Roman" w:eastAsia="仿宋_GB2312" w:cs="Times New Roman"/>
          <w:b w:val="0"/>
          <w:bCs/>
          <w:color w:val="auto"/>
          <w:kern w:val="0"/>
          <w:sz w:val="32"/>
          <w:szCs w:val="32"/>
          <w:highlight w:val="none"/>
          <w:lang w:bidi="ar"/>
        </w:rPr>
        <w:t>（一）买卖期货、股票，国家另有规定的除外；</w:t>
      </w:r>
      <w:r>
        <w:rPr>
          <w:rFonts w:hint="default" w:ascii="Times New Roman" w:hAnsi="Times New Roman" w:eastAsia="仿宋_GB2312" w:cs="Times New Roman"/>
          <w:b w:val="0"/>
          <w:bCs/>
          <w:color w:val="auto"/>
          <w:kern w:val="0"/>
          <w:sz w:val="32"/>
          <w:szCs w:val="32"/>
          <w:highlight w:val="none"/>
          <w:lang w:bidi="ar"/>
        </w:rPr>
        <w:br w:type="textWrapping"/>
      </w:r>
      <w:r>
        <w:rPr>
          <w:rFonts w:hint="default" w:ascii="Times New Roman" w:hAnsi="Times New Roman" w:eastAsia="仿宋_GB2312" w:cs="Times New Roman"/>
          <w:b w:val="0"/>
          <w:bCs/>
          <w:color w:val="auto"/>
          <w:kern w:val="0"/>
          <w:sz w:val="32"/>
          <w:szCs w:val="32"/>
          <w:highlight w:val="none"/>
          <w:lang w:val="en-US" w:eastAsia="zh-CN" w:bidi="ar"/>
        </w:rPr>
        <w:t xml:space="preserve">    </w:t>
      </w:r>
      <w:r>
        <w:rPr>
          <w:rFonts w:hint="default" w:ascii="Times New Roman" w:hAnsi="Times New Roman" w:eastAsia="仿宋_GB2312" w:cs="Times New Roman"/>
          <w:b w:val="0"/>
          <w:bCs/>
          <w:color w:val="auto"/>
          <w:kern w:val="0"/>
          <w:sz w:val="32"/>
          <w:szCs w:val="32"/>
          <w:highlight w:val="none"/>
          <w:lang w:bidi="ar"/>
        </w:rPr>
        <w:t>（二）购买各种企业债券、各类投资基金和其他任何形式的金融衍生品或者进行任何形式的金融风险投资，国家另有规定的除外；</w:t>
      </w:r>
      <w:r>
        <w:rPr>
          <w:rFonts w:hint="default" w:ascii="Times New Roman" w:hAnsi="Times New Roman" w:eastAsia="仿宋_GB2312" w:cs="Times New Roman"/>
          <w:b w:val="0"/>
          <w:bCs/>
          <w:color w:val="auto"/>
          <w:kern w:val="0"/>
          <w:sz w:val="32"/>
          <w:szCs w:val="32"/>
          <w:highlight w:val="none"/>
          <w:lang w:bidi="ar"/>
        </w:rPr>
        <w:br w:type="textWrapping"/>
      </w:r>
      <w:r>
        <w:rPr>
          <w:rFonts w:hint="eastAsia" w:ascii="Times New Roman" w:hAnsi="Times New Roman" w:eastAsia="仿宋_GB2312" w:cs="Times New Roman"/>
          <w:b w:val="0"/>
          <w:bCs/>
          <w:color w:val="auto"/>
          <w:kern w:val="0"/>
          <w:sz w:val="32"/>
          <w:szCs w:val="32"/>
          <w:highlight w:val="none"/>
          <w:lang w:val="en-US" w:eastAsia="zh-CN" w:bidi="ar"/>
        </w:rPr>
        <w:t xml:space="preserve"> </w:t>
      </w:r>
      <w:r>
        <w:rPr>
          <w:rFonts w:hint="default" w:ascii="Times New Roman" w:hAnsi="Times New Roman" w:eastAsia="仿宋_GB2312" w:cs="Times New Roman"/>
          <w:b w:val="0"/>
          <w:bCs/>
          <w:color w:val="auto"/>
          <w:kern w:val="0"/>
          <w:sz w:val="32"/>
          <w:szCs w:val="32"/>
          <w:highlight w:val="none"/>
          <w:lang w:val="en-US" w:eastAsia="zh-CN" w:bidi="ar"/>
        </w:rPr>
        <w:t xml:space="preserve">   </w:t>
      </w:r>
      <w:r>
        <w:rPr>
          <w:rFonts w:hint="default" w:ascii="Times New Roman" w:hAnsi="Times New Roman" w:eastAsia="仿宋_GB2312" w:cs="Times New Roman"/>
          <w:b w:val="0"/>
          <w:bCs/>
          <w:color w:val="auto"/>
          <w:kern w:val="0"/>
          <w:sz w:val="32"/>
          <w:szCs w:val="32"/>
          <w:highlight w:val="none"/>
          <w:lang w:bidi="ar"/>
        </w:rPr>
        <w:t>（三）利用国外贷款的事业单位，在国外债务尚未清偿前利用该贷款形成的</w:t>
      </w:r>
      <w:r>
        <w:rPr>
          <w:rFonts w:hint="default" w:ascii="Times New Roman" w:hAnsi="Times New Roman" w:eastAsia="仿宋_GB2312" w:cs="Times New Roman"/>
          <w:b w:val="0"/>
          <w:bCs/>
          <w:color w:val="auto"/>
          <w:kern w:val="0"/>
          <w:sz w:val="32"/>
          <w:szCs w:val="32"/>
          <w:highlight w:val="none"/>
          <w:lang w:eastAsia="zh-CN" w:bidi="ar"/>
        </w:rPr>
        <w:t>国有</w:t>
      </w:r>
      <w:r>
        <w:rPr>
          <w:rFonts w:hint="default" w:ascii="Times New Roman" w:hAnsi="Times New Roman" w:eastAsia="仿宋_GB2312" w:cs="Times New Roman"/>
          <w:b w:val="0"/>
          <w:bCs/>
          <w:color w:val="auto"/>
          <w:kern w:val="0"/>
          <w:sz w:val="32"/>
          <w:szCs w:val="32"/>
          <w:highlight w:val="none"/>
          <w:lang w:bidi="ar"/>
        </w:rPr>
        <w:t>资产对外投资；</w:t>
      </w:r>
    </w:p>
    <w:p w14:paraId="50F333C3">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color w:val="auto"/>
          <w:kern w:val="0"/>
          <w:sz w:val="32"/>
          <w:szCs w:val="32"/>
          <w:highlight w:val="none"/>
          <w:lang w:bidi="ar"/>
        </w:rPr>
        <w:t>（四）其他违反法律、行政法规规定的。</w:t>
      </w:r>
    </w:p>
    <w:p w14:paraId="6209D170">
      <w:pPr>
        <w:keepNext w:val="0"/>
        <w:keepLines w:val="0"/>
        <w:pageBreakBefore w:val="0"/>
        <w:widowControl w:val="0"/>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bCs w:val="0"/>
          <w:color w:val="auto"/>
          <w:kern w:val="0"/>
          <w:sz w:val="32"/>
          <w:szCs w:val="32"/>
          <w:highlight w:val="none"/>
          <w:lang w:val="en-US" w:eastAsia="zh-CN" w:bidi="ar"/>
        </w:rPr>
        <w:t>第三十八条</w:t>
      </w:r>
      <w:r>
        <w:rPr>
          <w:rFonts w:hint="default" w:ascii="Times New Roman" w:hAnsi="Times New Roman" w:eastAsia="仿宋_GB2312" w:cs="Times New Roman"/>
          <w:b w:val="0"/>
          <w:bCs/>
          <w:color w:val="auto"/>
          <w:kern w:val="0"/>
          <w:sz w:val="32"/>
          <w:szCs w:val="32"/>
          <w:highlight w:val="none"/>
          <w:lang w:val="en-US" w:eastAsia="zh-CN" w:bidi="ar"/>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rPr>
        <w:t>事业单位对外投资，应当按规定权限</w:t>
      </w:r>
      <w:r>
        <w:rPr>
          <w:rFonts w:hint="default" w:ascii="Times New Roman" w:hAnsi="Times New Roman" w:eastAsia="仿宋_GB2312" w:cs="Times New Roman"/>
          <w:b w:val="0"/>
          <w:bCs/>
          <w:color w:val="auto"/>
          <w:sz w:val="32"/>
          <w:szCs w:val="32"/>
          <w:highlight w:val="none"/>
          <w:lang w:eastAsia="zh-CN"/>
        </w:rPr>
        <w:t>履行报批手续。</w:t>
      </w:r>
    </w:p>
    <w:p w14:paraId="2AC1FE63">
      <w:pPr>
        <w:keepNext w:val="0"/>
        <w:keepLines w:val="0"/>
        <w:pageBreakBefore w:val="0"/>
        <w:widowControl w:val="0"/>
        <w:suppressAutoHyphen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sz w:val="32"/>
          <w:szCs w:val="32"/>
          <w:highlight w:val="none"/>
        </w:rPr>
      </w:pP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u w:val="none"/>
        </w:rPr>
        <w:t>事业单位利用国有资产对外投资</w:t>
      </w:r>
      <w:r>
        <w:rPr>
          <w:rFonts w:hint="default" w:ascii="Times New Roman" w:hAnsi="Times New Roman" w:eastAsia="仿宋_GB2312" w:cs="Times New Roman"/>
          <w:b w:val="0"/>
          <w:bCs/>
          <w:color w:val="auto"/>
          <w:sz w:val="32"/>
          <w:szCs w:val="32"/>
          <w:highlight w:val="none"/>
          <w:u w:val="none"/>
          <w:lang w:eastAsia="zh-CN"/>
        </w:rPr>
        <w:t>和追加对外投资价值</w:t>
      </w:r>
      <w:r>
        <w:rPr>
          <w:rFonts w:hint="default" w:ascii="Times New Roman" w:hAnsi="Times New Roman" w:eastAsia="仿宋_GB2312" w:cs="Times New Roman"/>
          <w:b w:val="0"/>
          <w:bCs/>
          <w:color w:val="auto"/>
          <w:sz w:val="32"/>
          <w:szCs w:val="32"/>
          <w:highlight w:val="none"/>
          <w:u w:val="none"/>
        </w:rPr>
        <w:t>在</w:t>
      </w:r>
      <w:r>
        <w:rPr>
          <w:rFonts w:hint="default" w:ascii="Times New Roman" w:hAnsi="Times New Roman" w:eastAsia="仿宋_GB2312" w:cs="Times New Roman"/>
          <w:b w:val="0"/>
          <w:bCs/>
          <w:color w:val="auto"/>
          <w:sz w:val="32"/>
          <w:szCs w:val="32"/>
          <w:highlight w:val="none"/>
          <w:u w:val="none"/>
          <w:lang w:val="en-US" w:eastAsia="zh-CN"/>
        </w:rPr>
        <w:t>100</w:t>
      </w:r>
      <w:r>
        <w:rPr>
          <w:rFonts w:hint="default" w:ascii="Times New Roman" w:hAnsi="Times New Roman" w:eastAsia="仿宋_GB2312" w:cs="Times New Roman"/>
          <w:b w:val="0"/>
          <w:bCs/>
          <w:color w:val="auto"/>
          <w:sz w:val="32"/>
          <w:szCs w:val="32"/>
          <w:highlight w:val="none"/>
          <w:u w:val="none"/>
        </w:rPr>
        <w:t>万</w:t>
      </w:r>
      <w:r>
        <w:rPr>
          <w:rFonts w:hint="default" w:ascii="Times New Roman" w:hAnsi="Times New Roman" w:eastAsia="仿宋_GB2312" w:cs="Times New Roman"/>
          <w:b w:val="0"/>
          <w:bCs/>
          <w:color w:val="auto"/>
          <w:sz w:val="32"/>
          <w:szCs w:val="32"/>
          <w:highlight w:val="none"/>
          <w:u w:val="none"/>
          <w:lang w:eastAsia="zh-CN"/>
        </w:rPr>
        <w:t>元（含）</w:t>
      </w:r>
      <w:r>
        <w:rPr>
          <w:rFonts w:hint="default" w:ascii="Times New Roman" w:hAnsi="Times New Roman" w:eastAsia="仿宋_GB2312" w:cs="Times New Roman"/>
          <w:b w:val="0"/>
          <w:bCs/>
          <w:color w:val="auto"/>
          <w:sz w:val="32"/>
          <w:szCs w:val="32"/>
          <w:highlight w:val="none"/>
          <w:u w:val="none"/>
        </w:rPr>
        <w:t>以下的，由主管部门按照有关规定进行审批</w:t>
      </w:r>
      <w:r>
        <w:rPr>
          <w:rFonts w:hint="default" w:ascii="Times New Roman" w:hAnsi="Times New Roman" w:eastAsia="仿宋_GB2312" w:cs="Times New Roman"/>
          <w:b w:val="0"/>
          <w:bCs/>
          <w:color w:val="auto"/>
          <w:sz w:val="32"/>
          <w:szCs w:val="32"/>
          <w:highlight w:val="none"/>
          <w:u w:val="none"/>
          <w:lang w:eastAsia="zh-CN"/>
        </w:rPr>
        <w:t>，报财政部门备案</w:t>
      </w:r>
      <w:r>
        <w:rPr>
          <w:rFonts w:hint="default" w:ascii="Times New Roman" w:hAnsi="Times New Roman" w:eastAsia="仿宋_GB2312" w:cs="Times New Roman"/>
          <w:b w:val="0"/>
          <w:bCs/>
          <w:color w:val="auto"/>
          <w:sz w:val="32"/>
          <w:szCs w:val="32"/>
          <w:highlight w:val="none"/>
          <w:u w:val="none"/>
        </w:rPr>
        <w:t>；单项投资额在</w:t>
      </w:r>
      <w:r>
        <w:rPr>
          <w:rFonts w:hint="default" w:ascii="Times New Roman" w:hAnsi="Times New Roman" w:eastAsia="仿宋_GB2312" w:cs="Times New Roman"/>
          <w:b w:val="0"/>
          <w:bCs/>
          <w:color w:val="auto"/>
          <w:sz w:val="32"/>
          <w:szCs w:val="32"/>
          <w:highlight w:val="none"/>
          <w:u w:val="none"/>
          <w:lang w:val="en-US" w:eastAsia="zh-CN"/>
        </w:rPr>
        <w:t>100</w:t>
      </w:r>
      <w:r>
        <w:rPr>
          <w:rFonts w:hint="default" w:ascii="Times New Roman" w:hAnsi="Times New Roman" w:eastAsia="仿宋_GB2312" w:cs="Times New Roman"/>
          <w:b w:val="0"/>
          <w:bCs/>
          <w:color w:val="auto"/>
          <w:sz w:val="32"/>
          <w:szCs w:val="32"/>
          <w:highlight w:val="none"/>
          <w:u w:val="none"/>
        </w:rPr>
        <w:t>万元以上的，</w:t>
      </w:r>
      <w:r>
        <w:rPr>
          <w:rFonts w:hint="default" w:ascii="Times New Roman" w:hAnsi="Times New Roman" w:eastAsia="仿宋_GB2312" w:cs="Times New Roman"/>
          <w:b w:val="0"/>
          <w:bCs/>
          <w:color w:val="auto"/>
          <w:sz w:val="32"/>
          <w:szCs w:val="32"/>
          <w:highlight w:val="none"/>
          <w:u w:val="none"/>
          <w:lang w:eastAsia="zh-CN"/>
        </w:rPr>
        <w:t>由</w:t>
      </w:r>
      <w:r>
        <w:rPr>
          <w:rFonts w:hint="default" w:ascii="Times New Roman" w:hAnsi="Times New Roman" w:eastAsia="仿宋_GB2312" w:cs="Times New Roman"/>
          <w:b w:val="0"/>
          <w:bCs/>
          <w:color w:val="auto"/>
          <w:sz w:val="32"/>
          <w:szCs w:val="32"/>
          <w:highlight w:val="none"/>
          <w:u w:val="none"/>
        </w:rPr>
        <w:t>主管部门</w:t>
      </w:r>
      <w:r>
        <w:rPr>
          <w:rFonts w:hint="default" w:ascii="Times New Roman" w:hAnsi="Times New Roman" w:eastAsia="仿宋_GB2312" w:cs="Times New Roman"/>
          <w:b w:val="0"/>
          <w:bCs/>
          <w:color w:val="auto"/>
          <w:sz w:val="32"/>
          <w:szCs w:val="32"/>
          <w:highlight w:val="none"/>
          <w:u w:val="none"/>
          <w:lang w:eastAsia="zh-CN"/>
        </w:rPr>
        <w:t>提出申请，经市</w:t>
      </w:r>
      <w:r>
        <w:rPr>
          <w:rFonts w:hint="default" w:ascii="Times New Roman" w:hAnsi="Times New Roman" w:eastAsia="仿宋_GB2312" w:cs="Times New Roman"/>
          <w:b w:val="0"/>
          <w:bCs/>
          <w:color w:val="auto"/>
          <w:sz w:val="32"/>
          <w:szCs w:val="32"/>
          <w:highlight w:val="none"/>
          <w:u w:val="none"/>
        </w:rPr>
        <w:t>财政</w:t>
      </w:r>
      <w:r>
        <w:rPr>
          <w:rFonts w:hint="default" w:ascii="Times New Roman" w:hAnsi="Times New Roman" w:eastAsia="仿宋_GB2312" w:cs="Times New Roman"/>
          <w:b w:val="0"/>
          <w:bCs/>
          <w:color w:val="auto"/>
          <w:sz w:val="32"/>
          <w:szCs w:val="32"/>
          <w:highlight w:val="none"/>
          <w:u w:val="none"/>
          <w:lang w:eastAsia="zh-CN"/>
        </w:rPr>
        <w:t>局审核后</w:t>
      </w:r>
      <w:r>
        <w:rPr>
          <w:rFonts w:hint="default" w:ascii="Times New Roman" w:hAnsi="Times New Roman" w:eastAsia="仿宋_GB2312" w:cs="Times New Roman"/>
          <w:b w:val="0"/>
          <w:bCs/>
          <w:color w:val="auto"/>
          <w:sz w:val="32"/>
          <w:szCs w:val="32"/>
          <w:highlight w:val="none"/>
          <w:u w:val="none"/>
        </w:rPr>
        <w:t>报市政府审批</w:t>
      </w:r>
      <w:r>
        <w:rPr>
          <w:rFonts w:hint="default" w:ascii="Times New Roman" w:hAnsi="Times New Roman" w:eastAsia="仿宋_GB2312" w:cs="Times New Roman"/>
          <w:b w:val="0"/>
          <w:bCs/>
          <w:color w:val="auto"/>
          <w:sz w:val="32"/>
          <w:szCs w:val="32"/>
          <w:highlight w:val="none"/>
        </w:rPr>
        <w:t>。</w:t>
      </w:r>
    </w:p>
    <w:p w14:paraId="1E25D955">
      <w:pPr>
        <w:keepNext w:val="0"/>
        <w:keepLines w:val="0"/>
        <w:pageBreakBefore w:val="0"/>
        <w:widowControl w:val="0"/>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eastAsia="zh-CN"/>
        </w:rPr>
        <w:t>三十九</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bCs w:val="0"/>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kern w:val="0"/>
          <w:sz w:val="32"/>
          <w:szCs w:val="32"/>
          <w:highlight w:val="none"/>
          <w:lang w:bidi="ar"/>
        </w:rPr>
        <w:t>事业单位</w:t>
      </w:r>
      <w:r>
        <w:rPr>
          <w:rFonts w:hint="default" w:ascii="Times New Roman" w:hAnsi="Times New Roman" w:eastAsia="仿宋_GB2312" w:cs="Times New Roman"/>
          <w:b w:val="0"/>
          <w:bCs/>
          <w:color w:val="auto"/>
          <w:kern w:val="0"/>
          <w:sz w:val="32"/>
          <w:szCs w:val="32"/>
          <w:highlight w:val="none"/>
          <w:lang w:eastAsia="zh-CN" w:bidi="ar"/>
        </w:rPr>
        <w:t>国有资产对外投资，</w:t>
      </w:r>
      <w:r>
        <w:rPr>
          <w:rFonts w:hint="default" w:ascii="Times New Roman" w:hAnsi="Times New Roman" w:eastAsia="仿宋_GB2312" w:cs="Times New Roman"/>
          <w:b w:val="0"/>
          <w:bCs/>
          <w:color w:val="auto"/>
          <w:kern w:val="0"/>
          <w:sz w:val="32"/>
          <w:szCs w:val="32"/>
          <w:highlight w:val="none"/>
          <w:lang w:bidi="ar"/>
        </w:rPr>
        <w:t>应当提供如下材料</w:t>
      </w:r>
      <w:r>
        <w:rPr>
          <w:rFonts w:hint="default" w:ascii="Times New Roman" w:hAnsi="Times New Roman" w:eastAsia="仿宋_GB2312" w:cs="Times New Roman"/>
          <w:b w:val="0"/>
          <w:bCs/>
          <w:color w:val="auto"/>
          <w:kern w:val="0"/>
          <w:sz w:val="32"/>
          <w:szCs w:val="32"/>
          <w:highlight w:val="none"/>
          <w:lang w:eastAsia="zh-CN" w:bidi="ar"/>
        </w:rPr>
        <w:t>，</w:t>
      </w:r>
      <w:r>
        <w:rPr>
          <w:rFonts w:hint="default" w:ascii="Times New Roman" w:hAnsi="Times New Roman" w:eastAsia="仿宋_GB2312" w:cs="Times New Roman"/>
          <w:b w:val="0"/>
          <w:bCs/>
          <w:i w:val="0"/>
          <w:iCs w:val="0"/>
          <w:color w:val="auto"/>
          <w:kern w:val="0"/>
          <w:sz w:val="32"/>
          <w:szCs w:val="32"/>
          <w:highlight w:val="none"/>
          <w:u w:val="none"/>
          <w:lang w:eastAsia="zh-CN" w:bidi="ar"/>
        </w:rPr>
        <w:t>并对材料的真实性、有效性、准确性负责</w:t>
      </w:r>
      <w:r>
        <w:rPr>
          <w:rFonts w:hint="default" w:ascii="Times New Roman" w:hAnsi="Times New Roman" w:eastAsia="仿宋_GB2312" w:cs="Times New Roman"/>
          <w:b w:val="0"/>
          <w:bCs/>
          <w:color w:val="auto"/>
          <w:kern w:val="0"/>
          <w:sz w:val="32"/>
          <w:szCs w:val="32"/>
          <w:highlight w:val="none"/>
          <w:lang w:bidi="ar"/>
        </w:rPr>
        <w:t>：</w:t>
      </w:r>
    </w:p>
    <w:p w14:paraId="542F4D05">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val="0"/>
          <w:bCs/>
          <w:color w:val="auto"/>
          <w:kern w:val="0"/>
          <w:sz w:val="32"/>
          <w:szCs w:val="32"/>
          <w:highlight w:val="none"/>
          <w:lang w:bidi="ar"/>
        </w:rPr>
        <w:t>（一）申请文件及单位内部决策文件；</w:t>
      </w:r>
    </w:p>
    <w:p w14:paraId="2B77BAAF">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val="0"/>
          <w:bCs/>
          <w:color w:val="auto"/>
          <w:kern w:val="0"/>
          <w:sz w:val="32"/>
          <w:szCs w:val="32"/>
          <w:highlight w:val="none"/>
          <w:lang w:bidi="ar"/>
        </w:rPr>
        <w:t>（二）国有资产价值凭证及产权证明，</w:t>
      </w:r>
      <w:r>
        <w:rPr>
          <w:rFonts w:hint="default" w:ascii="Times New Roman" w:hAnsi="Times New Roman" w:eastAsia="仿宋_GB2312" w:cs="Times New Roman"/>
          <w:b w:val="0"/>
          <w:bCs/>
          <w:color w:val="auto"/>
          <w:kern w:val="0"/>
          <w:sz w:val="32"/>
          <w:szCs w:val="32"/>
          <w:highlight w:val="none"/>
          <w:lang w:eastAsia="zh-CN" w:bidi="ar"/>
        </w:rPr>
        <w:t>如</w:t>
      </w:r>
      <w:r>
        <w:rPr>
          <w:rFonts w:hint="default" w:ascii="Times New Roman" w:hAnsi="Times New Roman" w:eastAsia="仿宋_GB2312" w:cs="Times New Roman"/>
          <w:b w:val="0"/>
          <w:bCs/>
          <w:color w:val="auto"/>
          <w:kern w:val="0"/>
          <w:sz w:val="32"/>
          <w:szCs w:val="32"/>
          <w:highlight w:val="none"/>
          <w:lang w:bidi="ar"/>
        </w:rPr>
        <w:t>购货发票或者收据、记账凭证、资产信息卡、国有土地使用权证、房屋所有权证、不动产权证、专利证、著作权证、债权或者股权凭证、投资协议等凭据的复印件</w:t>
      </w:r>
      <w:r>
        <w:rPr>
          <w:rFonts w:hint="default" w:ascii="Times New Roman" w:hAnsi="Times New Roman" w:eastAsia="仿宋_GB2312" w:cs="Times New Roman"/>
          <w:b w:val="0"/>
          <w:bCs/>
          <w:color w:val="auto"/>
          <w:kern w:val="0"/>
          <w:sz w:val="32"/>
          <w:szCs w:val="32"/>
          <w:highlight w:val="none"/>
          <w:lang w:eastAsia="zh-CN" w:bidi="ar"/>
        </w:rPr>
        <w:t>，并</w:t>
      </w:r>
      <w:r>
        <w:rPr>
          <w:rFonts w:hint="default" w:ascii="Times New Roman" w:hAnsi="Times New Roman" w:eastAsia="仿宋_GB2312" w:cs="Times New Roman"/>
          <w:b w:val="0"/>
          <w:bCs/>
          <w:color w:val="auto"/>
          <w:kern w:val="0"/>
          <w:sz w:val="32"/>
          <w:szCs w:val="32"/>
          <w:highlight w:val="none"/>
          <w:lang w:bidi="ar"/>
        </w:rPr>
        <w:t>加盖单位公章；</w:t>
      </w:r>
    </w:p>
    <w:p w14:paraId="1408D0D5">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val="0"/>
          <w:bCs/>
          <w:color w:val="auto"/>
          <w:kern w:val="0"/>
          <w:sz w:val="32"/>
          <w:szCs w:val="32"/>
          <w:highlight w:val="none"/>
          <w:lang w:bidi="ar"/>
        </w:rPr>
        <w:t>（三）可行性分析报告</w:t>
      </w:r>
      <w:r>
        <w:rPr>
          <w:rFonts w:hint="default" w:ascii="Times New Roman" w:hAnsi="Times New Roman" w:eastAsia="仿宋_GB2312" w:cs="Times New Roman"/>
          <w:b w:val="0"/>
          <w:bCs/>
          <w:color w:val="auto"/>
          <w:kern w:val="0"/>
          <w:sz w:val="32"/>
          <w:szCs w:val="32"/>
          <w:highlight w:val="none"/>
          <w:lang w:eastAsia="zh-CN" w:bidi="ar"/>
        </w:rPr>
        <w:t>，包括对外投资的必要性、可行性及风险分析，拟合作方的基本情况，拟用于对外投资的国有资产类型及来源，对外投资对本单位财务状况和业务活动影响的分析等</w:t>
      </w:r>
      <w:r>
        <w:rPr>
          <w:rFonts w:hint="default" w:ascii="Times New Roman" w:hAnsi="Times New Roman" w:eastAsia="仿宋_GB2312" w:cs="Times New Roman"/>
          <w:b w:val="0"/>
          <w:bCs/>
          <w:color w:val="auto"/>
          <w:kern w:val="0"/>
          <w:sz w:val="32"/>
          <w:szCs w:val="32"/>
          <w:highlight w:val="none"/>
          <w:lang w:bidi="ar"/>
        </w:rPr>
        <w:t>；</w:t>
      </w:r>
    </w:p>
    <w:p w14:paraId="63A26EFC">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val="0"/>
          <w:bCs/>
          <w:color w:val="auto"/>
          <w:kern w:val="0"/>
          <w:sz w:val="32"/>
          <w:szCs w:val="32"/>
          <w:highlight w:val="none"/>
          <w:lang w:val="en" w:eastAsia="zh-CN" w:bidi="ar"/>
        </w:rPr>
        <w:t>（四）</w:t>
      </w:r>
      <w:r>
        <w:rPr>
          <w:rFonts w:hint="default" w:ascii="Times New Roman" w:hAnsi="Times New Roman" w:eastAsia="仿宋_GB2312" w:cs="Times New Roman"/>
          <w:b w:val="0"/>
          <w:bCs/>
          <w:color w:val="auto"/>
          <w:kern w:val="0"/>
          <w:sz w:val="32"/>
          <w:szCs w:val="32"/>
          <w:highlight w:val="none"/>
          <w:lang w:val="en" w:bidi="ar"/>
        </w:rPr>
        <w:t>双方签署的意向性协议、</w:t>
      </w:r>
      <w:r>
        <w:rPr>
          <w:rFonts w:hint="default" w:ascii="Times New Roman" w:hAnsi="Times New Roman" w:eastAsia="仿宋_GB2312" w:cs="Times New Roman"/>
          <w:b w:val="0"/>
          <w:bCs/>
          <w:color w:val="auto"/>
          <w:kern w:val="0"/>
          <w:sz w:val="32"/>
          <w:szCs w:val="32"/>
          <w:highlight w:val="none"/>
          <w:lang w:bidi="ar"/>
        </w:rPr>
        <w:t>拟创办企业的章程草案；</w:t>
      </w:r>
    </w:p>
    <w:p w14:paraId="79EFDD35">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val="0"/>
          <w:bCs/>
          <w:color w:val="auto"/>
          <w:kern w:val="0"/>
          <w:sz w:val="32"/>
          <w:szCs w:val="32"/>
          <w:highlight w:val="none"/>
          <w:lang w:bidi="ar"/>
        </w:rPr>
        <w:t>（五）拟合作方法人证书或者企业营业执照、个人身份证复印件等；</w:t>
      </w:r>
    </w:p>
    <w:p w14:paraId="5E40A731">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bidi="ar"/>
        </w:rPr>
      </w:pPr>
      <w:r>
        <w:rPr>
          <w:rFonts w:hint="default" w:ascii="Times New Roman" w:hAnsi="Times New Roman" w:eastAsia="仿宋_GB2312" w:cs="Times New Roman"/>
          <w:b w:val="0"/>
          <w:bCs/>
          <w:color w:val="auto"/>
          <w:kern w:val="0"/>
          <w:sz w:val="32"/>
          <w:szCs w:val="32"/>
          <w:highlight w:val="none"/>
          <w:lang w:bidi="ar"/>
        </w:rPr>
        <w:t>（六）事业单位上年度财务报表、拟合作方或者被投资方经中介机构审计的上年度财务报告；</w:t>
      </w:r>
    </w:p>
    <w:p w14:paraId="22067A49">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color w:val="auto"/>
          <w:kern w:val="0"/>
          <w:sz w:val="32"/>
          <w:szCs w:val="32"/>
          <w:highlight w:val="none"/>
          <w:lang w:bidi="ar"/>
        </w:rPr>
        <w:t>（七）其他材料</w:t>
      </w:r>
      <w:r>
        <w:rPr>
          <w:rFonts w:hint="default" w:ascii="Times New Roman" w:hAnsi="Times New Roman" w:eastAsia="仿宋_GB2312" w:cs="Times New Roman"/>
          <w:b w:val="0"/>
          <w:bCs/>
          <w:color w:val="auto"/>
          <w:kern w:val="0"/>
          <w:sz w:val="32"/>
          <w:szCs w:val="32"/>
          <w:highlight w:val="none"/>
          <w:lang w:eastAsia="zh-CN" w:bidi="ar"/>
        </w:rPr>
        <w:t>。</w:t>
      </w:r>
    </w:p>
    <w:p w14:paraId="5D5CADF8">
      <w:pPr>
        <w:keepNext w:val="0"/>
        <w:keepLines w:val="0"/>
        <w:pageBreakBefore w:val="0"/>
        <w:widowControl w:val="0"/>
        <w:numPr>
          <w:ilvl w:val="0"/>
          <w:numId w:val="0"/>
        </w:numPr>
        <w:suppressAutoHyphens/>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val="en-US" w:eastAsia="zh-CN"/>
        </w:rPr>
        <w:t>四十</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val="0"/>
          <w:bCs/>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除国家、</w:t>
      </w:r>
      <w:r>
        <w:rPr>
          <w:rFonts w:hint="default" w:ascii="Times New Roman" w:hAnsi="Times New Roman" w:eastAsia="仿宋_GB2312" w:cs="Times New Roman"/>
          <w:color w:val="auto"/>
          <w:sz w:val="32"/>
          <w:szCs w:val="32"/>
          <w:highlight w:val="none"/>
          <w:u w:val="none"/>
          <w:lang w:val="en-US" w:eastAsia="zh-CN"/>
        </w:rPr>
        <w:t>省、市</w:t>
      </w:r>
      <w:r>
        <w:rPr>
          <w:rFonts w:hint="default" w:ascii="Times New Roman" w:hAnsi="Times New Roman" w:eastAsia="仿宋_GB2312" w:cs="Times New Roman"/>
          <w:color w:val="auto"/>
          <w:sz w:val="32"/>
          <w:szCs w:val="32"/>
          <w:highlight w:val="none"/>
          <w:lang w:val="en-US" w:eastAsia="zh-CN"/>
        </w:rPr>
        <w:t>另有规定外，</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sz w:val="32"/>
          <w:szCs w:val="32"/>
          <w:highlight w:val="none"/>
          <w:lang w:val="en-US" w:eastAsia="zh-CN"/>
        </w:rPr>
        <w:t>事业单位经批准利用国有资产进行对外投资的，应当依法</w:t>
      </w:r>
      <w:r>
        <w:rPr>
          <w:rFonts w:hint="default" w:ascii="Times New Roman" w:hAnsi="Times New Roman" w:eastAsia="仿宋_GB2312" w:cs="Times New Roman"/>
          <w:color w:val="auto"/>
          <w:sz w:val="32"/>
          <w:szCs w:val="32"/>
          <w:highlight w:val="none"/>
          <w:u w:val="none"/>
          <w:lang w:val="en-US" w:eastAsia="zh-CN"/>
        </w:rPr>
        <w:t>依规</w:t>
      </w:r>
      <w:r>
        <w:rPr>
          <w:rFonts w:hint="default" w:ascii="Times New Roman" w:hAnsi="Times New Roman" w:eastAsia="仿宋_GB2312" w:cs="Times New Roman"/>
          <w:color w:val="auto"/>
          <w:sz w:val="32"/>
          <w:szCs w:val="32"/>
          <w:highlight w:val="none"/>
          <w:lang w:val="en-US" w:eastAsia="zh-CN"/>
        </w:rPr>
        <w:t>进行资产评估</w:t>
      </w:r>
      <w:r>
        <w:rPr>
          <w:rFonts w:hint="default" w:ascii="Times New Roman" w:hAnsi="Times New Roman" w:eastAsia="仿宋_GB2312" w:cs="Times New Roman"/>
          <w:color w:val="auto"/>
          <w:sz w:val="32"/>
          <w:szCs w:val="32"/>
          <w:highlight w:val="none"/>
          <w:u w:val="none"/>
          <w:lang w:val="en-US" w:eastAsia="zh-CN"/>
        </w:rPr>
        <w:t>。</w:t>
      </w:r>
    </w:p>
    <w:p w14:paraId="08228995">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Style w:val="29"/>
          <w:rFonts w:hint="default" w:ascii="Times New Roman" w:hAnsi="Times New Roman" w:eastAsia="仿宋_GB2312" w:cs="Times New Roman"/>
          <w:b/>
          <w:bCs/>
          <w:color w:val="auto"/>
          <w:sz w:val="32"/>
          <w:szCs w:val="32"/>
          <w:highlight w:val="none"/>
          <w:lang w:val="en-US" w:eastAsia="zh-CN"/>
        </w:rPr>
        <w:t>第四十一条</w:t>
      </w:r>
      <w:r>
        <w:rPr>
          <w:rStyle w:val="29"/>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u w:val="none"/>
          <w:lang w:val="en-US" w:eastAsia="zh-CN"/>
        </w:rPr>
        <w:t>市直各研究开发机构、高等院校、</w:t>
      </w:r>
      <w:r>
        <w:rPr>
          <w:rFonts w:hint="default" w:ascii="Times New Roman" w:hAnsi="Times New Roman" w:eastAsia="仿宋_GB2312" w:cs="Times New Roman"/>
          <w:color w:val="auto"/>
          <w:kern w:val="2"/>
          <w:sz w:val="32"/>
          <w:szCs w:val="32"/>
          <w:highlight w:val="none"/>
          <w:u w:val="none"/>
          <w:lang w:val="en-US" w:eastAsia="zh-CN" w:bidi="ar"/>
        </w:rPr>
        <w:t>医疗卫生机构</w:t>
      </w:r>
      <w:r>
        <w:rPr>
          <w:rFonts w:hint="default" w:ascii="Times New Roman" w:hAnsi="Times New Roman" w:eastAsia="仿宋_GB2312" w:cs="Times New Roman"/>
          <w:color w:val="auto"/>
          <w:sz w:val="32"/>
          <w:szCs w:val="32"/>
          <w:highlight w:val="none"/>
          <w:u w:val="none"/>
          <w:lang w:val="en-US" w:eastAsia="zh-CN"/>
        </w:rPr>
        <w:t>将其持有的科技成果许可</w:t>
      </w:r>
      <w:r>
        <w:rPr>
          <w:rFonts w:hint="default" w:ascii="Times New Roman" w:hAnsi="Times New Roman" w:eastAsia="仿宋_GB2312" w:cs="Times New Roman"/>
          <w:color w:val="auto"/>
          <w:sz w:val="32"/>
          <w:szCs w:val="32"/>
          <w:highlight w:val="none"/>
          <w:lang w:val="en-US" w:eastAsia="zh-CN"/>
        </w:rPr>
        <w:t>或者作价投资给国有全资企业的，可以不进行资产评估；许可或者作价投资给非国有全资企业的，由单位自主决定是否进行资产评估；通过协议定价的，应当在本单位公示科技成果名称和拟交易价格。</w:t>
      </w:r>
      <w:r>
        <w:rPr>
          <w:rStyle w:val="29"/>
          <w:rFonts w:hint="default" w:ascii="Times New Roman" w:hAnsi="Times New Roman" w:eastAsia="仿宋_GB2312" w:cs="Times New Roman"/>
          <w:color w:val="auto"/>
          <w:sz w:val="32"/>
          <w:szCs w:val="32"/>
          <w:highlight w:val="none"/>
          <w:lang w:val="en-US" w:eastAsia="zh-CN"/>
        </w:rPr>
        <w:t>涉及国家秘密、国家安全及关键核心技术的科技成果许可或者作价投资，由各主管部门按照国家有关保密制度的规定审批。市直设立的各研究开发机构、高等院校、</w:t>
      </w:r>
      <w:r>
        <w:rPr>
          <w:rStyle w:val="29"/>
          <w:rFonts w:hint="default" w:ascii="Times New Roman" w:hAnsi="Times New Roman" w:eastAsia="仿宋_GB2312" w:cs="Times New Roman"/>
          <w:color w:val="auto"/>
          <w:sz w:val="32"/>
          <w:szCs w:val="32"/>
          <w:highlight w:val="none"/>
          <w:u w:val="none"/>
          <w:lang w:val="en-US" w:eastAsia="zh-CN"/>
        </w:rPr>
        <w:t>医疗卫生机构</w:t>
      </w:r>
      <w:r>
        <w:rPr>
          <w:rStyle w:val="29"/>
          <w:rFonts w:hint="default" w:ascii="Times New Roman" w:hAnsi="Times New Roman" w:eastAsia="仿宋_GB2312" w:cs="Times New Roman"/>
          <w:color w:val="auto"/>
          <w:sz w:val="32"/>
          <w:szCs w:val="32"/>
          <w:highlight w:val="none"/>
          <w:lang w:val="en-US" w:eastAsia="zh-CN"/>
        </w:rPr>
        <w:t>以科技成果转化形成的国有股权进行对外投资等使用事项，由主管部门审批。</w:t>
      </w:r>
    </w:p>
    <w:p w14:paraId="381F01D9">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 xml:space="preserve">第四十二条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rPr>
        <w:t>事业单位利用资产进行境外投资的，应当遵循国家境外投资项目核准和外汇管理等相关规定，履行</w:t>
      </w:r>
      <w:r>
        <w:rPr>
          <w:rFonts w:hint="default" w:ascii="Times New Roman" w:hAnsi="Times New Roman" w:eastAsia="仿宋_GB2312" w:cs="Times New Roman"/>
          <w:b w:val="0"/>
          <w:bCs/>
          <w:color w:val="auto"/>
          <w:sz w:val="32"/>
          <w:szCs w:val="32"/>
          <w:highlight w:val="none"/>
          <w:lang w:eastAsia="zh-CN"/>
        </w:rPr>
        <w:t>审</w:t>
      </w:r>
      <w:r>
        <w:rPr>
          <w:rFonts w:hint="default" w:ascii="Times New Roman" w:hAnsi="Times New Roman" w:eastAsia="仿宋_GB2312" w:cs="Times New Roman"/>
          <w:b w:val="0"/>
          <w:bCs/>
          <w:color w:val="auto"/>
          <w:sz w:val="32"/>
          <w:szCs w:val="32"/>
          <w:highlight w:val="none"/>
        </w:rPr>
        <w:t>批手续</w:t>
      </w:r>
      <w:r>
        <w:rPr>
          <w:rFonts w:hint="default" w:ascii="Times New Roman" w:hAnsi="Times New Roman" w:eastAsia="仿宋_GB2312" w:cs="Times New Roman"/>
          <w:b w:val="0"/>
          <w:bCs/>
          <w:color w:val="auto"/>
          <w:sz w:val="32"/>
          <w:szCs w:val="32"/>
          <w:highlight w:val="none"/>
          <w:lang w:eastAsia="zh-CN"/>
        </w:rPr>
        <w:t>。</w:t>
      </w:r>
    </w:p>
    <w:p w14:paraId="43849CBE">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eastAsia="zh-CN" w:bidi="ar"/>
        </w:rPr>
      </w:pPr>
      <w:r>
        <w:rPr>
          <w:rFonts w:hint="default" w:ascii="Times New Roman" w:hAnsi="Times New Roman" w:eastAsia="仿宋_GB2312" w:cs="Times New Roman"/>
          <w:b/>
          <w:bCs/>
          <w:color w:val="auto"/>
          <w:kern w:val="2"/>
          <w:sz w:val="32"/>
          <w:szCs w:val="32"/>
          <w:highlight w:val="none"/>
          <w:lang w:val="en-US" w:eastAsia="zh-CN" w:bidi="ar-SA"/>
        </w:rPr>
        <w:t>第四十三条</w:t>
      </w:r>
      <w:r>
        <w:rPr>
          <w:rFonts w:hint="default" w:ascii="Times New Roman" w:hAnsi="Times New Roman" w:eastAsia="仿宋_GB2312" w:cs="Times New Roman"/>
          <w:color w:val="auto"/>
          <w:kern w:val="2"/>
          <w:sz w:val="32"/>
          <w:szCs w:val="32"/>
          <w:highlight w:val="none"/>
          <w:lang w:val="en-US" w:eastAsia="zh-CN" w:bidi="ar-SA"/>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kern w:val="0"/>
          <w:sz w:val="32"/>
          <w:szCs w:val="32"/>
          <w:highlight w:val="none"/>
          <w:lang w:val="en" w:bidi="ar"/>
        </w:rPr>
        <w:t>事业单位</w:t>
      </w:r>
      <w:r>
        <w:rPr>
          <w:rFonts w:hint="default" w:ascii="Times New Roman" w:hAnsi="Times New Roman" w:eastAsia="仿宋_GB2312" w:cs="Times New Roman"/>
          <w:b w:val="0"/>
          <w:bCs/>
          <w:color w:val="auto"/>
          <w:kern w:val="0"/>
          <w:sz w:val="32"/>
          <w:szCs w:val="32"/>
          <w:highlight w:val="none"/>
          <w:lang w:bidi="ar"/>
        </w:rPr>
        <w:t>对外投资</w:t>
      </w:r>
      <w:r>
        <w:rPr>
          <w:rFonts w:hint="default" w:ascii="Times New Roman" w:hAnsi="Times New Roman" w:eastAsia="仿宋_GB2312" w:cs="Times New Roman"/>
          <w:b w:val="0"/>
          <w:bCs/>
          <w:color w:val="auto"/>
          <w:kern w:val="0"/>
          <w:sz w:val="32"/>
          <w:szCs w:val="32"/>
          <w:highlight w:val="none"/>
          <w:lang w:eastAsia="zh-CN" w:bidi="ar"/>
        </w:rPr>
        <w:t>形成的</w:t>
      </w:r>
      <w:r>
        <w:rPr>
          <w:rFonts w:hint="default" w:ascii="Times New Roman" w:hAnsi="Times New Roman" w:eastAsia="仿宋_GB2312" w:cs="Times New Roman"/>
          <w:b w:val="0"/>
          <w:bCs/>
          <w:color w:val="auto"/>
          <w:kern w:val="0"/>
          <w:sz w:val="32"/>
          <w:szCs w:val="32"/>
          <w:highlight w:val="none"/>
          <w:lang w:bidi="ar"/>
        </w:rPr>
        <w:t>国有资产，应当依照国家统一的会计制度进行核算，不得将对外投资</w:t>
      </w:r>
      <w:r>
        <w:rPr>
          <w:rFonts w:hint="default" w:ascii="Times New Roman" w:hAnsi="Times New Roman" w:eastAsia="仿宋_GB2312" w:cs="Times New Roman"/>
          <w:b w:val="0"/>
          <w:bCs/>
          <w:color w:val="auto"/>
          <w:kern w:val="0"/>
          <w:sz w:val="32"/>
          <w:szCs w:val="32"/>
          <w:highlight w:val="none"/>
          <w:u w:val="none"/>
          <w:lang w:eastAsia="zh-CN" w:bidi="ar"/>
        </w:rPr>
        <w:t>长期</w:t>
      </w:r>
      <w:r>
        <w:rPr>
          <w:rFonts w:hint="default" w:ascii="Times New Roman" w:hAnsi="Times New Roman" w:eastAsia="仿宋_GB2312" w:cs="Times New Roman"/>
          <w:b w:val="0"/>
          <w:bCs/>
          <w:color w:val="auto"/>
          <w:kern w:val="0"/>
          <w:sz w:val="32"/>
          <w:szCs w:val="32"/>
          <w:highlight w:val="none"/>
          <w:lang w:bidi="ar"/>
        </w:rPr>
        <w:t>在往来款科目核算，</w:t>
      </w:r>
      <w:r>
        <w:rPr>
          <w:rFonts w:hint="default" w:ascii="Times New Roman" w:hAnsi="Times New Roman" w:eastAsia="仿宋_GB2312" w:cs="Times New Roman"/>
          <w:b w:val="0"/>
          <w:bCs/>
          <w:color w:val="auto"/>
          <w:kern w:val="0"/>
          <w:sz w:val="32"/>
          <w:szCs w:val="32"/>
          <w:highlight w:val="none"/>
          <w:lang w:eastAsia="zh-CN" w:bidi="ar"/>
        </w:rPr>
        <w:t>不得形成账外资产。</w:t>
      </w:r>
    </w:p>
    <w:p w14:paraId="455F2139">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Times New Roman" w:hAnsi="Times New Roman" w:eastAsia="仿宋_GB2312" w:cs="Times New Roman"/>
          <w:b w:val="0"/>
          <w:bCs/>
          <w:color w:val="auto"/>
          <w:sz w:val="32"/>
          <w:szCs w:val="32"/>
          <w:highlight w:val="none"/>
          <w:u w:val="none"/>
          <w:lang w:val="en-US" w:eastAsia="zh-CN"/>
        </w:rPr>
      </w:pP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kern w:val="0"/>
          <w:sz w:val="32"/>
          <w:szCs w:val="32"/>
          <w:highlight w:val="none"/>
          <w:u w:val="none"/>
          <w:lang w:eastAsia="zh-CN" w:bidi="ar"/>
        </w:rPr>
        <w:t>事业单位应当明确对外投资形成的股权及其相关权益管理责任，加强对外投资的风险控制和考核，并将对外投资</w:t>
      </w:r>
      <w:r>
        <w:rPr>
          <w:rFonts w:hint="default" w:ascii="Times New Roman" w:hAnsi="Times New Roman" w:eastAsia="仿宋_GB2312" w:cs="Times New Roman"/>
          <w:b w:val="0"/>
          <w:bCs/>
          <w:color w:val="auto"/>
          <w:sz w:val="32"/>
          <w:szCs w:val="32"/>
          <w:highlight w:val="none"/>
          <w:u w:val="none"/>
          <w:lang w:val="en-US" w:eastAsia="zh-CN"/>
        </w:rPr>
        <w:t>形成的股权纳入经营性国有资产集中统一监管体系</w:t>
      </w:r>
      <w:r>
        <w:rPr>
          <w:rFonts w:hint="eastAsia" w:ascii="Times New Roman" w:hAnsi="Times New Roman" w:eastAsia="仿宋_GB2312" w:cs="Times New Roman"/>
          <w:b w:val="0"/>
          <w:bCs/>
          <w:color w:val="auto"/>
          <w:sz w:val="32"/>
          <w:szCs w:val="32"/>
          <w:highlight w:val="none"/>
          <w:u w:val="none"/>
          <w:lang w:val="en-US" w:eastAsia="zh-CN"/>
        </w:rPr>
        <w:t>。</w:t>
      </w:r>
    </w:p>
    <w:p w14:paraId="2B1B15A2">
      <w:pPr>
        <w:pStyle w:val="2"/>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default"/>
          <w:lang w:val="en-US" w:eastAsia="zh-CN"/>
        </w:rPr>
      </w:pPr>
    </w:p>
    <w:p w14:paraId="481E554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黑体" w:hAnsi="黑体" w:eastAsia="黑体" w:cs="黑体"/>
          <w:b w:val="0"/>
          <w:bCs w:val="0"/>
          <w:color w:val="auto"/>
          <w:kern w:val="0"/>
          <w:sz w:val="32"/>
          <w:szCs w:val="32"/>
          <w:highlight w:val="none"/>
          <w:lang w:val="en-US" w:eastAsia="zh-CN"/>
        </w:rPr>
      </w:pPr>
      <w:r>
        <w:rPr>
          <w:rFonts w:hint="eastAsia" w:ascii="黑体" w:hAnsi="黑体" w:eastAsia="黑体" w:cs="黑体"/>
          <w:b w:val="0"/>
          <w:bCs w:val="0"/>
          <w:color w:val="auto"/>
          <w:kern w:val="0"/>
          <w:sz w:val="32"/>
          <w:szCs w:val="32"/>
          <w:highlight w:val="none"/>
          <w:lang w:val="en-US" w:eastAsia="zh-CN"/>
        </w:rPr>
        <w:t xml:space="preserve">第四章 </w:t>
      </w:r>
      <w:r>
        <w:rPr>
          <w:rFonts w:hint="default" w:ascii="黑体" w:hAnsi="黑体" w:eastAsia="黑体" w:cs="黑体"/>
          <w:b w:val="0"/>
          <w:bCs w:val="0"/>
          <w:color w:val="auto"/>
          <w:kern w:val="0"/>
          <w:sz w:val="32"/>
          <w:szCs w:val="32"/>
          <w:highlight w:val="none"/>
          <w:lang w:val="en-US" w:eastAsia="zh-CN"/>
        </w:rPr>
        <w:t>资产处置</w:t>
      </w:r>
    </w:p>
    <w:p w14:paraId="09FB2377">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Times New Roman" w:hAnsi="Times New Roman" w:eastAsia="仿宋_GB2312" w:cs="Times New Roman"/>
          <w:b/>
          <w:bCs/>
          <w:color w:val="auto"/>
          <w:kern w:val="0"/>
          <w:sz w:val="32"/>
          <w:szCs w:val="32"/>
          <w:highlight w:val="none"/>
          <w:lang w:val="en-US" w:eastAsia="zh-CN" w:bidi="ar-SA"/>
        </w:rPr>
      </w:pPr>
      <w:r>
        <w:rPr>
          <w:rFonts w:hint="default" w:ascii="Times New Roman" w:hAnsi="Times New Roman" w:eastAsia="仿宋_GB2312" w:cs="Times New Roman"/>
          <w:b/>
          <w:bCs/>
          <w:color w:val="auto"/>
          <w:kern w:val="0"/>
          <w:sz w:val="32"/>
          <w:szCs w:val="32"/>
          <w:highlight w:val="none"/>
          <w:lang w:val="en-US" w:eastAsia="zh-CN" w:bidi="ar-SA"/>
        </w:rPr>
        <w:t>第一节 资产处置范围和基本程序</w:t>
      </w:r>
    </w:p>
    <w:p w14:paraId="23FDF4E0">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kern w:val="0"/>
          <w:sz w:val="32"/>
          <w:szCs w:val="32"/>
          <w:highlight w:val="none"/>
          <w:lang w:val="en-US" w:eastAsia="zh-CN"/>
        </w:rPr>
        <w:t>第四十四条</w:t>
      </w:r>
      <w:r>
        <w:rPr>
          <w:rFonts w:hint="default" w:ascii="Times New Roman" w:hAnsi="Times New Roman" w:eastAsia="仿宋_GB2312" w:cs="Times New Roman"/>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rPr>
        <w:t>资产处置的范围包括：</w:t>
      </w:r>
    </w:p>
    <w:p w14:paraId="2E8E31E2">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（一）因技术原因确需淘汰或者无法维修、无维修价值的</w:t>
      </w:r>
      <w:r>
        <w:rPr>
          <w:rFonts w:hint="eastAsia" w:ascii="Times New Roman" w:hAnsi="Times New Roman" w:eastAsia="仿宋_GB2312" w:cs="Times New Roman"/>
          <w:color w:val="auto"/>
          <w:kern w:val="0"/>
          <w:sz w:val="32"/>
          <w:szCs w:val="32"/>
          <w:highlight w:val="none"/>
          <w:lang w:eastAsia="zh-CN"/>
        </w:rPr>
        <w:t>；</w:t>
      </w:r>
    </w:p>
    <w:p w14:paraId="620B5464">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（二）涉及盘亏等非正常损失的</w:t>
      </w:r>
      <w:r>
        <w:rPr>
          <w:rFonts w:hint="eastAsia" w:ascii="Times New Roman" w:hAnsi="Times New Roman" w:eastAsia="仿宋_GB2312" w:cs="Times New Roman"/>
          <w:color w:val="auto"/>
          <w:kern w:val="0"/>
          <w:sz w:val="32"/>
          <w:szCs w:val="32"/>
          <w:highlight w:val="none"/>
          <w:lang w:eastAsia="zh-CN"/>
        </w:rPr>
        <w:t>；</w:t>
      </w:r>
    </w:p>
    <w:p w14:paraId="59D68AC3">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（三）已超过使用年限且无法满足现有工作需要的；</w:t>
      </w:r>
    </w:p>
    <w:p w14:paraId="56CD5F0C">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（四）因自然灾害等不可抗力造成毁损、灭失的</w:t>
      </w:r>
      <w:r>
        <w:rPr>
          <w:rFonts w:hint="eastAsia" w:ascii="Times New Roman" w:hAnsi="Times New Roman" w:eastAsia="仿宋_GB2312" w:cs="Times New Roman"/>
          <w:color w:val="auto"/>
          <w:kern w:val="0"/>
          <w:sz w:val="32"/>
          <w:szCs w:val="32"/>
          <w:highlight w:val="none"/>
          <w:lang w:eastAsia="zh-CN"/>
        </w:rPr>
        <w:t>；</w:t>
      </w:r>
    </w:p>
    <w:p w14:paraId="393D53E1">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（五）因单位分立、合并、改制、撤销、隶属关系改变或者部分职能、业务调整等而移交的</w:t>
      </w:r>
      <w:r>
        <w:rPr>
          <w:rFonts w:hint="eastAsia" w:ascii="Times New Roman" w:hAnsi="Times New Roman" w:eastAsia="仿宋_GB2312" w:cs="Times New Roman"/>
          <w:color w:val="auto"/>
          <w:kern w:val="0"/>
          <w:sz w:val="32"/>
          <w:szCs w:val="32"/>
          <w:highlight w:val="none"/>
          <w:lang w:eastAsia="zh-CN"/>
        </w:rPr>
        <w:t>；</w:t>
      </w:r>
    </w:p>
    <w:p w14:paraId="719C4E97">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（六）发生产权变动的</w:t>
      </w:r>
      <w:r>
        <w:rPr>
          <w:rFonts w:hint="eastAsia" w:ascii="Times New Roman" w:hAnsi="Times New Roman" w:eastAsia="仿宋_GB2312" w:cs="Times New Roman"/>
          <w:color w:val="auto"/>
          <w:kern w:val="0"/>
          <w:sz w:val="32"/>
          <w:szCs w:val="32"/>
          <w:highlight w:val="none"/>
          <w:lang w:eastAsia="zh-CN"/>
        </w:rPr>
        <w:t>；</w:t>
      </w:r>
    </w:p>
    <w:p w14:paraId="2E7AA0D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（七）依照国家或省有关规定需要处置的其他情形。</w:t>
      </w:r>
    </w:p>
    <w:p w14:paraId="5E6937D8">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kern w:val="0"/>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US" w:eastAsia="zh-CN"/>
        </w:rPr>
        <w:t xml:space="preserve">第四十五条 </w:t>
      </w:r>
      <w:r>
        <w:rPr>
          <w:rFonts w:hint="default" w:ascii="Times New Roman" w:hAnsi="Times New Roman" w:eastAsia="仿宋_GB2312" w:cs="Times New Roman"/>
          <w:b w:val="0"/>
          <w:bCs w:val="0"/>
          <w:color w:val="auto"/>
          <w:kern w:val="0"/>
          <w:sz w:val="32"/>
          <w:szCs w:val="32"/>
          <w:highlight w:val="none"/>
          <w:lang w:val="en-US" w:eastAsia="zh-CN"/>
        </w:rPr>
        <w:t>市直</w:t>
      </w:r>
      <w:r>
        <w:rPr>
          <w:rFonts w:hint="default" w:ascii="Times New Roman" w:hAnsi="Times New Roman" w:eastAsia="仿宋_GB2312" w:cs="Times New Roman"/>
          <w:b w:val="0"/>
          <w:bCs w:val="0"/>
          <w:color w:val="auto"/>
          <w:kern w:val="0"/>
          <w:sz w:val="32"/>
          <w:szCs w:val="32"/>
          <w:highlight w:val="none"/>
          <w:lang w:eastAsia="zh-CN"/>
        </w:rPr>
        <w:t>行政事业单位资产处置事项，按以下权限办理：</w:t>
      </w:r>
    </w:p>
    <w:p w14:paraId="4AABBD42">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kern w:val="0"/>
          <w:sz w:val="32"/>
          <w:szCs w:val="32"/>
          <w:highlight w:val="none"/>
        </w:rPr>
      </w:pPr>
      <w:r>
        <w:rPr>
          <w:rFonts w:hint="default" w:ascii="Times New Roman" w:hAnsi="Times New Roman" w:eastAsia="仿宋_GB2312" w:cs="Times New Roman"/>
          <w:b w:val="0"/>
          <w:bCs w:val="0"/>
          <w:color w:val="auto"/>
          <w:kern w:val="0"/>
          <w:sz w:val="32"/>
          <w:szCs w:val="32"/>
          <w:highlight w:val="none"/>
          <w:lang w:eastAsia="zh-CN"/>
        </w:rPr>
        <w:t>（一）房屋（除房屋拆除外）的处置，</w:t>
      </w:r>
      <w:r>
        <w:rPr>
          <w:rFonts w:hint="default" w:ascii="Times New Roman" w:hAnsi="Times New Roman" w:eastAsia="仿宋_GB2312" w:cs="Times New Roman"/>
          <w:b w:val="0"/>
          <w:bCs w:val="0"/>
          <w:color w:val="auto"/>
          <w:kern w:val="0"/>
          <w:sz w:val="32"/>
          <w:szCs w:val="32"/>
          <w:highlight w:val="none"/>
        </w:rPr>
        <w:t>由主管部门审核后报</w:t>
      </w:r>
      <w:r>
        <w:rPr>
          <w:rFonts w:hint="default" w:ascii="Times New Roman" w:hAnsi="Times New Roman" w:eastAsia="仿宋_GB2312" w:cs="Times New Roman"/>
          <w:b w:val="0"/>
          <w:bCs w:val="0"/>
          <w:color w:val="auto"/>
          <w:kern w:val="0"/>
          <w:sz w:val="32"/>
          <w:szCs w:val="32"/>
          <w:highlight w:val="none"/>
          <w:lang w:eastAsia="zh-CN"/>
        </w:rPr>
        <w:t>市</w:t>
      </w:r>
      <w:r>
        <w:rPr>
          <w:rFonts w:hint="default" w:ascii="Times New Roman" w:hAnsi="Times New Roman" w:eastAsia="仿宋_GB2312" w:cs="Times New Roman"/>
          <w:b w:val="0"/>
          <w:bCs w:val="0"/>
          <w:color w:val="auto"/>
          <w:kern w:val="0"/>
          <w:sz w:val="32"/>
          <w:szCs w:val="32"/>
          <w:highlight w:val="none"/>
        </w:rPr>
        <w:t>财政</w:t>
      </w:r>
      <w:r>
        <w:rPr>
          <w:rFonts w:hint="default" w:ascii="Times New Roman" w:hAnsi="Times New Roman" w:eastAsia="仿宋_GB2312" w:cs="Times New Roman"/>
          <w:b w:val="0"/>
          <w:bCs w:val="0"/>
          <w:color w:val="auto"/>
          <w:kern w:val="0"/>
          <w:sz w:val="32"/>
          <w:szCs w:val="32"/>
          <w:highlight w:val="none"/>
          <w:lang w:eastAsia="zh-CN"/>
        </w:rPr>
        <w:t>局</w:t>
      </w:r>
      <w:r>
        <w:rPr>
          <w:rFonts w:hint="default" w:ascii="Times New Roman" w:hAnsi="Times New Roman" w:eastAsia="仿宋_GB2312" w:cs="Times New Roman"/>
          <w:b w:val="0"/>
          <w:bCs w:val="0"/>
          <w:color w:val="auto"/>
          <w:kern w:val="0"/>
          <w:sz w:val="32"/>
          <w:szCs w:val="32"/>
          <w:highlight w:val="none"/>
        </w:rPr>
        <w:t>审</w:t>
      </w:r>
      <w:r>
        <w:rPr>
          <w:rFonts w:hint="default" w:ascii="Times New Roman" w:hAnsi="Times New Roman" w:eastAsia="仿宋_GB2312" w:cs="Times New Roman"/>
          <w:b w:val="0"/>
          <w:bCs w:val="0"/>
          <w:color w:val="auto"/>
          <w:kern w:val="0"/>
          <w:sz w:val="32"/>
          <w:szCs w:val="32"/>
          <w:highlight w:val="none"/>
          <w:lang w:val="en-US" w:eastAsia="zh-CN"/>
        </w:rPr>
        <w:t>批，涉及办公用房的报市机关事务服务中心审批</w:t>
      </w:r>
      <w:r>
        <w:rPr>
          <w:rFonts w:hint="default" w:ascii="Times New Roman" w:hAnsi="Times New Roman" w:eastAsia="仿宋_GB2312" w:cs="Times New Roman"/>
          <w:b w:val="0"/>
          <w:bCs w:val="0"/>
          <w:color w:val="auto"/>
          <w:kern w:val="0"/>
          <w:sz w:val="32"/>
          <w:szCs w:val="32"/>
          <w:highlight w:val="none"/>
        </w:rPr>
        <w:t>。</w:t>
      </w:r>
      <w:r>
        <w:rPr>
          <w:rFonts w:hint="default" w:ascii="Times New Roman" w:hAnsi="Times New Roman" w:eastAsia="仿宋_GB2312" w:cs="Times New Roman"/>
          <w:b w:val="0"/>
          <w:bCs w:val="0"/>
          <w:color w:val="auto"/>
          <w:kern w:val="0"/>
          <w:sz w:val="32"/>
          <w:szCs w:val="32"/>
          <w:highlight w:val="none"/>
          <w:lang w:eastAsia="zh-CN"/>
        </w:rPr>
        <w:t>其中：</w:t>
      </w:r>
      <w:r>
        <w:rPr>
          <w:rFonts w:hint="default" w:ascii="Times New Roman" w:hAnsi="Times New Roman" w:eastAsia="仿宋_GB2312" w:cs="Times New Roman"/>
          <w:b w:val="0"/>
          <w:bCs w:val="0"/>
          <w:color w:val="auto"/>
          <w:kern w:val="0"/>
          <w:sz w:val="32"/>
          <w:szCs w:val="32"/>
          <w:highlight w:val="none"/>
        </w:rPr>
        <w:t>房屋</w:t>
      </w:r>
      <w:r>
        <w:rPr>
          <w:rFonts w:hint="default" w:ascii="Times New Roman" w:hAnsi="Times New Roman" w:eastAsia="仿宋_GB2312" w:cs="Times New Roman"/>
          <w:b w:val="0"/>
          <w:bCs w:val="0"/>
          <w:color w:val="auto"/>
          <w:kern w:val="0"/>
          <w:sz w:val="32"/>
          <w:szCs w:val="32"/>
          <w:highlight w:val="none"/>
          <w:lang w:eastAsia="zh-CN"/>
        </w:rPr>
        <w:t>账面原值或</w:t>
      </w:r>
      <w:r>
        <w:rPr>
          <w:rFonts w:hint="default" w:ascii="Times New Roman" w:hAnsi="Times New Roman" w:eastAsia="仿宋_GB2312" w:cs="Times New Roman"/>
          <w:b w:val="0"/>
          <w:bCs w:val="0"/>
          <w:color w:val="auto"/>
          <w:kern w:val="0"/>
          <w:sz w:val="32"/>
          <w:szCs w:val="32"/>
          <w:highlight w:val="none"/>
        </w:rPr>
        <w:t>评估</w:t>
      </w:r>
      <w:r>
        <w:rPr>
          <w:rFonts w:hint="default" w:ascii="Times New Roman" w:hAnsi="Times New Roman" w:eastAsia="仿宋_GB2312" w:cs="Times New Roman"/>
          <w:b w:val="0"/>
          <w:bCs w:val="0"/>
          <w:color w:val="auto"/>
          <w:kern w:val="0"/>
          <w:sz w:val="32"/>
          <w:szCs w:val="32"/>
          <w:highlight w:val="none"/>
          <w:lang w:eastAsia="zh-CN"/>
        </w:rPr>
        <w:t>价</w:t>
      </w:r>
      <w:r>
        <w:rPr>
          <w:rFonts w:hint="default" w:ascii="Times New Roman" w:hAnsi="Times New Roman" w:eastAsia="仿宋_GB2312" w:cs="Times New Roman"/>
          <w:b w:val="0"/>
          <w:bCs w:val="0"/>
          <w:color w:val="auto"/>
          <w:kern w:val="0"/>
          <w:sz w:val="32"/>
          <w:szCs w:val="32"/>
          <w:highlight w:val="none"/>
        </w:rPr>
        <w:t>值</w:t>
      </w:r>
      <w:r>
        <w:rPr>
          <w:rFonts w:hint="default" w:ascii="Times New Roman" w:hAnsi="Times New Roman" w:eastAsia="仿宋_GB2312" w:cs="Times New Roman"/>
          <w:b w:val="0"/>
          <w:bCs w:val="0"/>
          <w:color w:val="auto"/>
          <w:kern w:val="0"/>
          <w:sz w:val="32"/>
          <w:szCs w:val="32"/>
          <w:highlight w:val="none"/>
          <w:lang w:eastAsia="zh-CN"/>
        </w:rPr>
        <w:t>小于</w:t>
      </w:r>
      <w:r>
        <w:rPr>
          <w:rFonts w:hint="eastAsia" w:ascii="Times New Roman" w:hAnsi="Times New Roman" w:eastAsia="仿宋_GB2312" w:cs="Times New Roman"/>
          <w:b w:val="0"/>
          <w:bCs w:val="0"/>
          <w:color w:val="auto"/>
          <w:kern w:val="0"/>
          <w:sz w:val="32"/>
          <w:szCs w:val="32"/>
          <w:highlight w:val="none"/>
          <w:lang w:val="en-US" w:eastAsia="zh-CN"/>
        </w:rPr>
        <w:t>1</w:t>
      </w:r>
      <w:r>
        <w:rPr>
          <w:rFonts w:hint="default" w:ascii="Times New Roman" w:hAnsi="Times New Roman" w:eastAsia="仿宋_GB2312" w:cs="Times New Roman"/>
          <w:b w:val="0"/>
          <w:bCs w:val="0"/>
          <w:color w:val="auto"/>
          <w:kern w:val="0"/>
          <w:sz w:val="32"/>
          <w:szCs w:val="32"/>
          <w:highlight w:val="none"/>
        </w:rPr>
        <w:t>00万元</w:t>
      </w:r>
      <w:r>
        <w:rPr>
          <w:rFonts w:hint="default" w:ascii="Times New Roman" w:hAnsi="Times New Roman" w:eastAsia="仿宋_GB2312" w:cs="Times New Roman"/>
          <w:b w:val="0"/>
          <w:bCs w:val="0"/>
          <w:color w:val="auto"/>
          <w:kern w:val="0"/>
          <w:sz w:val="32"/>
          <w:szCs w:val="32"/>
          <w:highlight w:val="none"/>
          <w:lang w:eastAsia="zh-CN"/>
        </w:rPr>
        <w:t>（含），由市财政局或市机关事务服务中心</w:t>
      </w:r>
      <w:r>
        <w:rPr>
          <w:rFonts w:hint="default" w:ascii="Times New Roman" w:hAnsi="Times New Roman" w:eastAsia="仿宋_GB2312" w:cs="Times New Roman"/>
          <w:b w:val="0"/>
          <w:bCs w:val="0"/>
          <w:color w:val="auto"/>
          <w:kern w:val="0"/>
          <w:sz w:val="32"/>
          <w:szCs w:val="32"/>
          <w:highlight w:val="none"/>
          <w:lang w:val="en-US" w:eastAsia="zh-CN"/>
        </w:rPr>
        <w:t>审批</w:t>
      </w:r>
      <w:r>
        <w:rPr>
          <w:rFonts w:hint="default" w:ascii="Times New Roman" w:hAnsi="Times New Roman" w:eastAsia="仿宋_GB2312" w:cs="Times New Roman"/>
          <w:b w:val="0"/>
          <w:bCs w:val="0"/>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rPr>
        <w:t>房屋</w:t>
      </w:r>
      <w:r>
        <w:rPr>
          <w:rFonts w:hint="default" w:ascii="Times New Roman" w:hAnsi="Times New Roman" w:eastAsia="仿宋_GB2312" w:cs="Times New Roman"/>
          <w:b w:val="0"/>
          <w:bCs w:val="0"/>
          <w:color w:val="auto"/>
          <w:kern w:val="0"/>
          <w:sz w:val="32"/>
          <w:szCs w:val="32"/>
          <w:highlight w:val="none"/>
          <w:lang w:eastAsia="zh-CN"/>
        </w:rPr>
        <w:t>账面原值或</w:t>
      </w:r>
      <w:r>
        <w:rPr>
          <w:rFonts w:hint="default" w:ascii="Times New Roman" w:hAnsi="Times New Roman" w:eastAsia="仿宋_GB2312" w:cs="Times New Roman"/>
          <w:b w:val="0"/>
          <w:bCs w:val="0"/>
          <w:color w:val="auto"/>
          <w:kern w:val="0"/>
          <w:sz w:val="32"/>
          <w:szCs w:val="32"/>
          <w:highlight w:val="none"/>
        </w:rPr>
        <w:t>评估</w:t>
      </w:r>
      <w:r>
        <w:rPr>
          <w:rFonts w:hint="default" w:ascii="Times New Roman" w:hAnsi="Times New Roman" w:eastAsia="仿宋_GB2312" w:cs="Times New Roman"/>
          <w:b w:val="0"/>
          <w:bCs w:val="0"/>
          <w:color w:val="auto"/>
          <w:kern w:val="0"/>
          <w:sz w:val="32"/>
          <w:szCs w:val="32"/>
          <w:highlight w:val="none"/>
          <w:lang w:eastAsia="zh-CN"/>
        </w:rPr>
        <w:t>价</w:t>
      </w:r>
      <w:r>
        <w:rPr>
          <w:rFonts w:hint="default" w:ascii="Times New Roman" w:hAnsi="Times New Roman" w:eastAsia="仿宋_GB2312" w:cs="Times New Roman"/>
          <w:b w:val="0"/>
          <w:bCs w:val="0"/>
          <w:color w:val="auto"/>
          <w:kern w:val="0"/>
          <w:sz w:val="32"/>
          <w:szCs w:val="32"/>
          <w:highlight w:val="none"/>
        </w:rPr>
        <w:t>值</w:t>
      </w:r>
      <w:r>
        <w:rPr>
          <w:rFonts w:hint="eastAsia" w:ascii="Times New Roman" w:hAnsi="Times New Roman" w:eastAsia="仿宋_GB2312" w:cs="Times New Roman"/>
          <w:b w:val="0"/>
          <w:bCs w:val="0"/>
          <w:color w:val="auto"/>
          <w:kern w:val="0"/>
          <w:sz w:val="32"/>
          <w:szCs w:val="32"/>
          <w:highlight w:val="none"/>
          <w:lang w:val="en-US" w:eastAsia="zh-CN"/>
        </w:rPr>
        <w:t>1</w:t>
      </w:r>
      <w:r>
        <w:rPr>
          <w:rFonts w:hint="default" w:ascii="Times New Roman" w:hAnsi="Times New Roman" w:eastAsia="仿宋_GB2312" w:cs="Times New Roman"/>
          <w:b w:val="0"/>
          <w:bCs w:val="0"/>
          <w:color w:val="auto"/>
          <w:kern w:val="0"/>
          <w:sz w:val="32"/>
          <w:szCs w:val="32"/>
          <w:highlight w:val="none"/>
        </w:rPr>
        <w:t>00万元</w:t>
      </w:r>
      <w:r>
        <w:rPr>
          <w:rFonts w:hint="default" w:ascii="Times New Roman" w:hAnsi="Times New Roman" w:eastAsia="仿宋_GB2312" w:cs="Times New Roman"/>
          <w:b w:val="0"/>
          <w:bCs w:val="0"/>
          <w:color w:val="auto"/>
          <w:kern w:val="0"/>
          <w:sz w:val="32"/>
          <w:szCs w:val="32"/>
          <w:highlight w:val="none"/>
          <w:lang w:eastAsia="zh-CN"/>
        </w:rPr>
        <w:t>以上，经市</w:t>
      </w:r>
      <w:r>
        <w:rPr>
          <w:rFonts w:hint="default" w:ascii="Times New Roman" w:hAnsi="Times New Roman" w:eastAsia="仿宋_GB2312" w:cs="Times New Roman"/>
          <w:b w:val="0"/>
          <w:bCs w:val="0"/>
          <w:color w:val="auto"/>
          <w:kern w:val="0"/>
          <w:sz w:val="32"/>
          <w:szCs w:val="32"/>
          <w:highlight w:val="none"/>
        </w:rPr>
        <w:t>财政</w:t>
      </w:r>
      <w:r>
        <w:rPr>
          <w:rFonts w:hint="default" w:ascii="Times New Roman" w:hAnsi="Times New Roman" w:eastAsia="仿宋_GB2312" w:cs="Times New Roman"/>
          <w:b w:val="0"/>
          <w:bCs w:val="0"/>
          <w:color w:val="auto"/>
          <w:kern w:val="0"/>
          <w:sz w:val="32"/>
          <w:szCs w:val="32"/>
          <w:highlight w:val="none"/>
          <w:lang w:eastAsia="zh-CN"/>
        </w:rPr>
        <w:t>局或市机关事务服务中心</w:t>
      </w:r>
      <w:r>
        <w:rPr>
          <w:rFonts w:hint="default" w:ascii="Times New Roman" w:hAnsi="Times New Roman" w:eastAsia="仿宋_GB2312" w:cs="Times New Roman"/>
          <w:b w:val="0"/>
          <w:bCs w:val="0"/>
          <w:color w:val="auto"/>
          <w:kern w:val="0"/>
          <w:sz w:val="32"/>
          <w:szCs w:val="32"/>
          <w:highlight w:val="none"/>
        </w:rPr>
        <w:t>审核后</w:t>
      </w:r>
      <w:r>
        <w:rPr>
          <w:rFonts w:hint="default" w:ascii="Times New Roman" w:hAnsi="Times New Roman" w:eastAsia="仿宋_GB2312" w:cs="Times New Roman"/>
          <w:b w:val="0"/>
          <w:bCs w:val="0"/>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rPr>
        <w:t>报</w:t>
      </w:r>
      <w:r>
        <w:rPr>
          <w:rFonts w:hint="default" w:ascii="Times New Roman" w:hAnsi="Times New Roman" w:eastAsia="仿宋_GB2312" w:cs="Times New Roman"/>
          <w:b w:val="0"/>
          <w:bCs w:val="0"/>
          <w:color w:val="auto"/>
          <w:kern w:val="0"/>
          <w:sz w:val="32"/>
          <w:szCs w:val="32"/>
          <w:highlight w:val="none"/>
          <w:lang w:eastAsia="zh-CN"/>
        </w:rPr>
        <w:t>市</w:t>
      </w:r>
      <w:r>
        <w:rPr>
          <w:rFonts w:hint="default" w:ascii="Times New Roman" w:hAnsi="Times New Roman" w:eastAsia="仿宋_GB2312" w:cs="Times New Roman"/>
          <w:b w:val="0"/>
          <w:bCs w:val="0"/>
          <w:color w:val="auto"/>
          <w:kern w:val="0"/>
          <w:sz w:val="32"/>
          <w:szCs w:val="32"/>
          <w:highlight w:val="none"/>
        </w:rPr>
        <w:t>人民政府</w:t>
      </w:r>
      <w:r>
        <w:rPr>
          <w:rFonts w:hint="default" w:ascii="Times New Roman" w:hAnsi="Times New Roman" w:eastAsia="仿宋_GB2312" w:cs="Times New Roman"/>
          <w:b w:val="0"/>
          <w:bCs w:val="0"/>
          <w:color w:val="auto"/>
          <w:kern w:val="0"/>
          <w:sz w:val="32"/>
          <w:szCs w:val="32"/>
          <w:highlight w:val="none"/>
          <w:lang w:val="en-US" w:eastAsia="zh-CN"/>
        </w:rPr>
        <w:t>审批</w:t>
      </w:r>
      <w:r>
        <w:rPr>
          <w:rFonts w:hint="default" w:ascii="Times New Roman" w:hAnsi="Times New Roman" w:eastAsia="仿宋_GB2312" w:cs="Times New Roman"/>
          <w:b w:val="0"/>
          <w:bCs w:val="0"/>
          <w:color w:val="auto"/>
          <w:kern w:val="0"/>
          <w:sz w:val="32"/>
          <w:szCs w:val="32"/>
          <w:highlight w:val="none"/>
        </w:rPr>
        <w:t>。</w:t>
      </w:r>
    </w:p>
    <w:p w14:paraId="01EF2A3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kern w:val="0"/>
          <w:sz w:val="32"/>
          <w:szCs w:val="32"/>
          <w:highlight w:val="none"/>
          <w:u w:val="none"/>
          <w:lang w:eastAsia="zh-CN"/>
        </w:rPr>
      </w:pPr>
      <w:r>
        <w:rPr>
          <w:rFonts w:hint="default" w:ascii="Times New Roman" w:hAnsi="Times New Roman" w:eastAsia="仿宋_GB2312" w:cs="Times New Roman"/>
          <w:b w:val="0"/>
          <w:bCs w:val="0"/>
          <w:color w:val="auto"/>
          <w:kern w:val="0"/>
          <w:sz w:val="32"/>
          <w:szCs w:val="32"/>
          <w:highlight w:val="none"/>
          <w:lang w:eastAsia="zh-CN"/>
        </w:rPr>
        <w:t>（二）土地使用权的处置，</w:t>
      </w:r>
      <w:r>
        <w:rPr>
          <w:rFonts w:hint="default" w:ascii="Times New Roman" w:hAnsi="Times New Roman" w:eastAsia="仿宋_GB2312" w:cs="Times New Roman"/>
          <w:b w:val="0"/>
          <w:bCs w:val="0"/>
          <w:color w:val="auto"/>
          <w:kern w:val="0"/>
          <w:sz w:val="32"/>
          <w:szCs w:val="32"/>
          <w:highlight w:val="none"/>
        </w:rPr>
        <w:t>由主管部门</w:t>
      </w:r>
      <w:r>
        <w:rPr>
          <w:rFonts w:hint="default" w:ascii="Times New Roman" w:hAnsi="Times New Roman" w:eastAsia="仿宋_GB2312" w:cs="Times New Roman"/>
          <w:b w:val="0"/>
          <w:bCs w:val="0"/>
          <w:color w:val="auto"/>
          <w:kern w:val="0"/>
          <w:sz w:val="32"/>
          <w:szCs w:val="32"/>
          <w:highlight w:val="none"/>
          <w:lang w:eastAsia="zh-CN"/>
        </w:rPr>
        <w:t>报经市财政局审核后，</w:t>
      </w:r>
      <w:r>
        <w:rPr>
          <w:rFonts w:hint="default" w:ascii="Times New Roman" w:hAnsi="Times New Roman" w:eastAsia="仿宋_GB2312" w:cs="Times New Roman"/>
          <w:b w:val="0"/>
          <w:bCs w:val="0"/>
          <w:color w:val="auto"/>
          <w:kern w:val="0"/>
          <w:sz w:val="32"/>
          <w:szCs w:val="32"/>
          <w:highlight w:val="none"/>
        </w:rPr>
        <w:t>报</w:t>
      </w:r>
      <w:r>
        <w:rPr>
          <w:rFonts w:hint="default" w:ascii="Times New Roman" w:hAnsi="Times New Roman" w:eastAsia="仿宋_GB2312" w:cs="Times New Roman"/>
          <w:b w:val="0"/>
          <w:bCs w:val="0"/>
          <w:color w:val="auto"/>
          <w:kern w:val="0"/>
          <w:sz w:val="32"/>
          <w:szCs w:val="32"/>
          <w:highlight w:val="none"/>
          <w:lang w:eastAsia="zh-CN"/>
        </w:rPr>
        <w:t>市政府</w:t>
      </w:r>
      <w:r>
        <w:rPr>
          <w:rFonts w:hint="default" w:ascii="Times New Roman" w:hAnsi="Times New Roman" w:eastAsia="仿宋_GB2312" w:cs="Times New Roman"/>
          <w:b w:val="0"/>
          <w:bCs w:val="0"/>
          <w:color w:val="auto"/>
          <w:kern w:val="0"/>
          <w:sz w:val="32"/>
          <w:szCs w:val="32"/>
          <w:highlight w:val="none"/>
        </w:rPr>
        <w:t>审</w:t>
      </w:r>
      <w:r>
        <w:rPr>
          <w:rFonts w:hint="default" w:ascii="Times New Roman" w:hAnsi="Times New Roman" w:eastAsia="仿宋_GB2312" w:cs="Times New Roman"/>
          <w:b w:val="0"/>
          <w:bCs w:val="0"/>
          <w:color w:val="auto"/>
          <w:kern w:val="0"/>
          <w:sz w:val="32"/>
          <w:szCs w:val="32"/>
          <w:highlight w:val="none"/>
          <w:lang w:val="en-US" w:eastAsia="zh-CN"/>
        </w:rPr>
        <w:t>批。涉及划拨土地的</w:t>
      </w:r>
      <w:r>
        <w:rPr>
          <w:rFonts w:hint="default" w:ascii="Times New Roman" w:hAnsi="Times New Roman" w:eastAsia="仿宋_GB2312" w:cs="Times New Roman"/>
          <w:b w:val="0"/>
          <w:bCs w:val="0"/>
          <w:color w:val="auto"/>
          <w:kern w:val="0"/>
          <w:sz w:val="32"/>
          <w:szCs w:val="32"/>
          <w:highlight w:val="none"/>
          <w:lang w:eastAsia="zh-CN"/>
        </w:rPr>
        <w:t>处置事项，主管部门</w:t>
      </w:r>
      <w:r>
        <w:rPr>
          <w:rFonts w:hint="default" w:ascii="Times New Roman" w:hAnsi="Times New Roman" w:eastAsia="仿宋_GB2312" w:cs="Times New Roman"/>
          <w:b w:val="0"/>
          <w:bCs w:val="0"/>
          <w:color w:val="auto"/>
          <w:kern w:val="0"/>
          <w:sz w:val="32"/>
          <w:szCs w:val="32"/>
          <w:highlight w:val="none"/>
          <w:u w:val="none"/>
          <w:lang w:eastAsia="zh-CN"/>
        </w:rPr>
        <w:t>应当事先经市自然资源和城乡建设局依法依规核准。</w:t>
      </w:r>
    </w:p>
    <w:p w14:paraId="6607AD4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kern w:val="0"/>
          <w:sz w:val="32"/>
          <w:szCs w:val="32"/>
          <w:highlight w:val="none"/>
        </w:rPr>
      </w:pPr>
      <w:r>
        <w:rPr>
          <w:rFonts w:hint="default" w:ascii="Times New Roman" w:hAnsi="Times New Roman" w:eastAsia="仿宋_GB2312" w:cs="Times New Roman"/>
          <w:b w:val="0"/>
          <w:bCs w:val="0"/>
          <w:color w:val="auto"/>
          <w:kern w:val="0"/>
          <w:sz w:val="32"/>
          <w:szCs w:val="32"/>
          <w:highlight w:val="none"/>
          <w:lang w:eastAsia="zh-CN"/>
        </w:rPr>
        <w:t>（三）股权的处置，由</w:t>
      </w:r>
      <w:r>
        <w:rPr>
          <w:rFonts w:hint="default" w:ascii="Times New Roman" w:hAnsi="Times New Roman" w:eastAsia="仿宋_GB2312" w:cs="Times New Roman"/>
          <w:b w:val="0"/>
          <w:bCs w:val="0"/>
          <w:color w:val="auto"/>
          <w:kern w:val="0"/>
          <w:sz w:val="32"/>
          <w:szCs w:val="32"/>
          <w:highlight w:val="none"/>
        </w:rPr>
        <w:t>主管部门审核后报</w:t>
      </w:r>
      <w:r>
        <w:rPr>
          <w:rFonts w:hint="default" w:ascii="Times New Roman" w:hAnsi="Times New Roman" w:eastAsia="仿宋_GB2312" w:cs="Times New Roman"/>
          <w:b w:val="0"/>
          <w:bCs w:val="0"/>
          <w:color w:val="auto"/>
          <w:kern w:val="0"/>
          <w:sz w:val="32"/>
          <w:szCs w:val="32"/>
          <w:highlight w:val="none"/>
          <w:lang w:eastAsia="zh-CN"/>
        </w:rPr>
        <w:t>市</w:t>
      </w:r>
      <w:r>
        <w:rPr>
          <w:rFonts w:hint="default" w:ascii="Times New Roman" w:hAnsi="Times New Roman" w:eastAsia="仿宋_GB2312" w:cs="Times New Roman"/>
          <w:b w:val="0"/>
          <w:bCs w:val="0"/>
          <w:color w:val="auto"/>
          <w:kern w:val="0"/>
          <w:sz w:val="32"/>
          <w:szCs w:val="32"/>
          <w:highlight w:val="none"/>
        </w:rPr>
        <w:t>财政</w:t>
      </w:r>
      <w:r>
        <w:rPr>
          <w:rFonts w:hint="default" w:ascii="Times New Roman" w:hAnsi="Times New Roman" w:eastAsia="仿宋_GB2312" w:cs="Times New Roman"/>
          <w:b w:val="0"/>
          <w:bCs w:val="0"/>
          <w:color w:val="auto"/>
          <w:kern w:val="0"/>
          <w:sz w:val="32"/>
          <w:szCs w:val="32"/>
          <w:highlight w:val="none"/>
          <w:lang w:eastAsia="zh-CN"/>
        </w:rPr>
        <w:t>局</w:t>
      </w:r>
      <w:r>
        <w:rPr>
          <w:rFonts w:hint="default" w:ascii="Times New Roman" w:hAnsi="Times New Roman" w:eastAsia="仿宋_GB2312" w:cs="Times New Roman"/>
          <w:b w:val="0"/>
          <w:bCs w:val="0"/>
          <w:color w:val="auto"/>
          <w:kern w:val="0"/>
          <w:sz w:val="32"/>
          <w:szCs w:val="32"/>
          <w:highlight w:val="none"/>
        </w:rPr>
        <w:t>审</w:t>
      </w:r>
      <w:r>
        <w:rPr>
          <w:rFonts w:hint="default" w:ascii="Times New Roman" w:hAnsi="Times New Roman" w:eastAsia="仿宋_GB2312" w:cs="Times New Roman"/>
          <w:b w:val="0"/>
          <w:bCs w:val="0"/>
          <w:color w:val="auto"/>
          <w:kern w:val="0"/>
          <w:sz w:val="32"/>
          <w:szCs w:val="32"/>
          <w:highlight w:val="none"/>
          <w:lang w:val="en-US" w:eastAsia="zh-CN"/>
        </w:rPr>
        <w:t>批</w:t>
      </w:r>
      <w:r>
        <w:rPr>
          <w:rFonts w:hint="default" w:ascii="Times New Roman" w:hAnsi="Times New Roman" w:eastAsia="仿宋_GB2312" w:cs="Times New Roman"/>
          <w:b w:val="0"/>
          <w:bCs w:val="0"/>
          <w:color w:val="auto"/>
          <w:kern w:val="0"/>
          <w:sz w:val="32"/>
          <w:szCs w:val="32"/>
          <w:highlight w:val="none"/>
        </w:rPr>
        <w:t>。</w:t>
      </w:r>
      <w:r>
        <w:rPr>
          <w:rFonts w:hint="default" w:ascii="Times New Roman" w:hAnsi="Times New Roman" w:eastAsia="仿宋_GB2312" w:cs="Times New Roman"/>
          <w:b w:val="0"/>
          <w:bCs w:val="0"/>
          <w:color w:val="auto"/>
          <w:kern w:val="0"/>
          <w:sz w:val="32"/>
          <w:szCs w:val="32"/>
          <w:highlight w:val="none"/>
          <w:lang w:val="en" w:eastAsia="zh-CN" w:bidi="ar"/>
        </w:rPr>
        <w:t>其中：股权减持或损失</w:t>
      </w:r>
      <w:r>
        <w:rPr>
          <w:rFonts w:hint="default" w:ascii="Times New Roman" w:hAnsi="Times New Roman" w:eastAsia="仿宋_GB2312" w:cs="Times New Roman"/>
          <w:b w:val="0"/>
          <w:bCs w:val="0"/>
          <w:color w:val="auto"/>
          <w:kern w:val="0"/>
          <w:sz w:val="32"/>
          <w:szCs w:val="32"/>
          <w:highlight w:val="none"/>
          <w:lang w:val="en-US" w:eastAsia="zh-CN" w:bidi="ar"/>
        </w:rPr>
        <w:t>金额小</w:t>
      </w:r>
      <w:r>
        <w:rPr>
          <w:rFonts w:hint="default" w:ascii="Times New Roman" w:hAnsi="Times New Roman" w:eastAsia="仿宋_GB2312" w:cs="Times New Roman"/>
          <w:b w:val="0"/>
          <w:bCs w:val="0"/>
          <w:color w:val="auto"/>
          <w:kern w:val="0"/>
          <w:sz w:val="32"/>
          <w:szCs w:val="32"/>
          <w:highlight w:val="none"/>
          <w:u w:val="none"/>
          <w:lang w:val="en-US" w:eastAsia="zh-CN" w:bidi="ar"/>
        </w:rPr>
        <w:t>于</w:t>
      </w:r>
      <w:r>
        <w:rPr>
          <w:rFonts w:hint="default" w:ascii="Times New Roman" w:hAnsi="Times New Roman" w:eastAsia="仿宋_GB2312" w:cs="Times New Roman"/>
          <w:b w:val="0"/>
          <w:bCs w:val="0"/>
          <w:color w:val="auto"/>
          <w:kern w:val="0"/>
          <w:sz w:val="32"/>
          <w:szCs w:val="32"/>
          <w:highlight w:val="none"/>
          <w:u w:val="none"/>
          <w:lang w:val="en-US" w:eastAsia="zh-CN"/>
        </w:rPr>
        <w:t>1</w:t>
      </w:r>
      <w:r>
        <w:rPr>
          <w:rFonts w:hint="default" w:ascii="Times New Roman" w:hAnsi="Times New Roman" w:eastAsia="仿宋_GB2312" w:cs="Times New Roman"/>
          <w:b w:val="0"/>
          <w:bCs w:val="0"/>
          <w:color w:val="auto"/>
          <w:kern w:val="0"/>
          <w:sz w:val="32"/>
          <w:szCs w:val="32"/>
          <w:highlight w:val="none"/>
          <w:u w:val="none"/>
        </w:rPr>
        <w:t>00万</w:t>
      </w:r>
      <w:r>
        <w:rPr>
          <w:rFonts w:hint="default" w:ascii="Times New Roman" w:hAnsi="Times New Roman" w:eastAsia="仿宋_GB2312" w:cs="Times New Roman"/>
          <w:b w:val="0"/>
          <w:bCs w:val="0"/>
          <w:color w:val="auto"/>
          <w:kern w:val="0"/>
          <w:sz w:val="32"/>
          <w:szCs w:val="32"/>
          <w:highlight w:val="none"/>
        </w:rPr>
        <w:t>元</w:t>
      </w:r>
      <w:r>
        <w:rPr>
          <w:rFonts w:hint="default" w:ascii="Times New Roman" w:hAnsi="Times New Roman" w:eastAsia="仿宋_GB2312" w:cs="Times New Roman"/>
          <w:b w:val="0"/>
          <w:bCs w:val="0"/>
          <w:color w:val="auto"/>
          <w:kern w:val="0"/>
          <w:sz w:val="32"/>
          <w:szCs w:val="32"/>
          <w:highlight w:val="none"/>
          <w:lang w:eastAsia="zh-CN"/>
        </w:rPr>
        <w:t>（含），由市财政局</w:t>
      </w:r>
      <w:r>
        <w:rPr>
          <w:rFonts w:hint="default" w:ascii="Times New Roman" w:hAnsi="Times New Roman" w:eastAsia="仿宋_GB2312" w:cs="Times New Roman"/>
          <w:b w:val="0"/>
          <w:bCs w:val="0"/>
          <w:color w:val="auto"/>
          <w:kern w:val="0"/>
          <w:sz w:val="32"/>
          <w:szCs w:val="32"/>
          <w:highlight w:val="none"/>
          <w:lang w:val="en-US" w:eastAsia="zh-CN"/>
        </w:rPr>
        <w:t>审批</w:t>
      </w:r>
      <w:r>
        <w:rPr>
          <w:rFonts w:hint="default" w:ascii="Times New Roman" w:hAnsi="Times New Roman" w:eastAsia="仿宋_GB2312" w:cs="Times New Roman"/>
          <w:b w:val="0"/>
          <w:bCs w:val="0"/>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 w:eastAsia="zh-CN" w:bidi="ar"/>
        </w:rPr>
        <w:t>股权减持或损失</w:t>
      </w:r>
      <w:r>
        <w:rPr>
          <w:rFonts w:hint="default" w:ascii="Times New Roman" w:hAnsi="Times New Roman" w:eastAsia="仿宋_GB2312" w:cs="Times New Roman"/>
          <w:b w:val="0"/>
          <w:bCs w:val="0"/>
          <w:color w:val="auto"/>
          <w:kern w:val="0"/>
          <w:sz w:val="32"/>
          <w:szCs w:val="32"/>
          <w:highlight w:val="none"/>
          <w:lang w:val="en-US" w:eastAsia="zh-CN" w:bidi="ar"/>
        </w:rPr>
        <w:t>金额</w:t>
      </w:r>
      <w:r>
        <w:rPr>
          <w:rFonts w:hint="default" w:ascii="Times New Roman" w:hAnsi="Times New Roman" w:eastAsia="仿宋_GB2312" w:cs="Times New Roman"/>
          <w:b w:val="0"/>
          <w:bCs w:val="0"/>
          <w:color w:val="auto"/>
          <w:kern w:val="0"/>
          <w:sz w:val="32"/>
          <w:szCs w:val="32"/>
          <w:highlight w:val="none"/>
          <w:u w:val="none"/>
          <w:lang w:val="en-US" w:eastAsia="zh-CN"/>
        </w:rPr>
        <w:t>1</w:t>
      </w:r>
      <w:r>
        <w:rPr>
          <w:rFonts w:hint="default" w:ascii="Times New Roman" w:hAnsi="Times New Roman" w:eastAsia="仿宋_GB2312" w:cs="Times New Roman"/>
          <w:b w:val="0"/>
          <w:bCs w:val="0"/>
          <w:color w:val="auto"/>
          <w:kern w:val="0"/>
          <w:sz w:val="32"/>
          <w:szCs w:val="32"/>
          <w:highlight w:val="none"/>
          <w:u w:val="none"/>
        </w:rPr>
        <w:t>00</w:t>
      </w:r>
      <w:r>
        <w:rPr>
          <w:rFonts w:hint="default" w:ascii="Times New Roman" w:hAnsi="Times New Roman" w:eastAsia="仿宋_GB2312" w:cs="Times New Roman"/>
          <w:b w:val="0"/>
          <w:bCs w:val="0"/>
          <w:color w:val="auto"/>
          <w:kern w:val="0"/>
          <w:sz w:val="32"/>
          <w:szCs w:val="32"/>
          <w:highlight w:val="none"/>
        </w:rPr>
        <w:t>万元</w:t>
      </w:r>
      <w:r>
        <w:rPr>
          <w:rFonts w:hint="default" w:ascii="Times New Roman" w:hAnsi="Times New Roman" w:eastAsia="仿宋_GB2312" w:cs="Times New Roman"/>
          <w:b w:val="0"/>
          <w:bCs w:val="0"/>
          <w:color w:val="auto"/>
          <w:kern w:val="0"/>
          <w:sz w:val="32"/>
          <w:szCs w:val="32"/>
          <w:highlight w:val="none"/>
          <w:lang w:eastAsia="zh-CN"/>
        </w:rPr>
        <w:t>以上，市</w:t>
      </w:r>
      <w:r>
        <w:rPr>
          <w:rFonts w:hint="default" w:ascii="Times New Roman" w:hAnsi="Times New Roman" w:eastAsia="仿宋_GB2312" w:cs="Times New Roman"/>
          <w:b w:val="0"/>
          <w:bCs w:val="0"/>
          <w:color w:val="auto"/>
          <w:kern w:val="0"/>
          <w:sz w:val="32"/>
          <w:szCs w:val="32"/>
          <w:highlight w:val="none"/>
        </w:rPr>
        <w:t>财政</w:t>
      </w:r>
      <w:r>
        <w:rPr>
          <w:rFonts w:hint="default" w:ascii="Times New Roman" w:hAnsi="Times New Roman" w:eastAsia="仿宋_GB2312" w:cs="Times New Roman"/>
          <w:b w:val="0"/>
          <w:bCs w:val="0"/>
          <w:color w:val="auto"/>
          <w:kern w:val="0"/>
          <w:sz w:val="32"/>
          <w:szCs w:val="32"/>
          <w:highlight w:val="none"/>
          <w:lang w:eastAsia="zh-CN"/>
        </w:rPr>
        <w:t>局</w:t>
      </w:r>
      <w:r>
        <w:rPr>
          <w:rFonts w:hint="default" w:ascii="Times New Roman" w:hAnsi="Times New Roman" w:eastAsia="仿宋_GB2312" w:cs="Times New Roman"/>
          <w:b w:val="0"/>
          <w:bCs w:val="0"/>
          <w:color w:val="auto"/>
          <w:kern w:val="0"/>
          <w:sz w:val="32"/>
          <w:szCs w:val="32"/>
          <w:highlight w:val="none"/>
        </w:rPr>
        <w:t>审核后</w:t>
      </w:r>
      <w:r>
        <w:rPr>
          <w:rFonts w:hint="default" w:ascii="Times New Roman" w:hAnsi="Times New Roman" w:eastAsia="仿宋_GB2312" w:cs="Times New Roman"/>
          <w:b w:val="0"/>
          <w:bCs w:val="0"/>
          <w:color w:val="auto"/>
          <w:kern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rPr>
        <w:t>报</w:t>
      </w:r>
      <w:r>
        <w:rPr>
          <w:rFonts w:hint="default" w:ascii="Times New Roman" w:hAnsi="Times New Roman" w:eastAsia="仿宋_GB2312" w:cs="Times New Roman"/>
          <w:b w:val="0"/>
          <w:bCs w:val="0"/>
          <w:color w:val="auto"/>
          <w:kern w:val="0"/>
          <w:sz w:val="32"/>
          <w:szCs w:val="32"/>
          <w:highlight w:val="none"/>
          <w:lang w:eastAsia="zh-CN"/>
        </w:rPr>
        <w:t>市</w:t>
      </w:r>
      <w:r>
        <w:rPr>
          <w:rFonts w:hint="default" w:ascii="Times New Roman" w:hAnsi="Times New Roman" w:eastAsia="仿宋_GB2312" w:cs="Times New Roman"/>
          <w:b w:val="0"/>
          <w:bCs w:val="0"/>
          <w:color w:val="auto"/>
          <w:kern w:val="0"/>
          <w:sz w:val="32"/>
          <w:szCs w:val="32"/>
          <w:highlight w:val="none"/>
        </w:rPr>
        <w:t>人民政府</w:t>
      </w:r>
      <w:r>
        <w:rPr>
          <w:rFonts w:hint="default" w:ascii="Times New Roman" w:hAnsi="Times New Roman" w:eastAsia="仿宋_GB2312" w:cs="Times New Roman"/>
          <w:b w:val="0"/>
          <w:bCs w:val="0"/>
          <w:color w:val="auto"/>
          <w:kern w:val="0"/>
          <w:sz w:val="32"/>
          <w:szCs w:val="32"/>
          <w:highlight w:val="none"/>
          <w:lang w:val="en-US" w:eastAsia="zh-CN"/>
        </w:rPr>
        <w:t>审批</w:t>
      </w:r>
      <w:r>
        <w:rPr>
          <w:rFonts w:hint="default" w:ascii="Times New Roman" w:hAnsi="Times New Roman" w:eastAsia="仿宋_GB2312" w:cs="Times New Roman"/>
          <w:b w:val="0"/>
          <w:bCs w:val="0"/>
          <w:color w:val="auto"/>
          <w:kern w:val="0"/>
          <w:sz w:val="32"/>
          <w:szCs w:val="32"/>
          <w:highlight w:val="none"/>
        </w:rPr>
        <w:t>。</w:t>
      </w:r>
    </w:p>
    <w:p w14:paraId="7D38B865">
      <w:pPr>
        <w:pStyle w:val="2"/>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textAlignment w:val="auto"/>
        <w:outlineLvl w:val="9"/>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b w:val="0"/>
          <w:bCs w:val="0"/>
          <w:color w:val="auto"/>
          <w:kern w:val="0"/>
          <w:sz w:val="32"/>
          <w:szCs w:val="32"/>
          <w:highlight w:val="none"/>
          <w:lang w:eastAsia="zh-CN"/>
        </w:rPr>
        <w:t>（四）车辆的处置，由主管部门审核后报市机关事务服务中心审批。</w:t>
      </w:r>
    </w:p>
    <w:p w14:paraId="23DA121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kern w:val="0"/>
          <w:sz w:val="32"/>
          <w:szCs w:val="32"/>
          <w:highlight w:val="none"/>
          <w:lang w:eastAsia="zh-CN"/>
        </w:rPr>
      </w:pPr>
      <w:r>
        <w:rPr>
          <w:rFonts w:hint="default" w:ascii="Times New Roman" w:hAnsi="Times New Roman" w:eastAsia="仿宋_GB2312" w:cs="Times New Roman"/>
          <w:b w:val="0"/>
          <w:bCs w:val="0"/>
          <w:color w:val="auto"/>
          <w:kern w:val="0"/>
          <w:sz w:val="32"/>
          <w:szCs w:val="32"/>
          <w:highlight w:val="none"/>
          <w:lang w:eastAsia="zh-CN"/>
        </w:rPr>
        <w:t>（五）跨级次、跨地区的资产处置事项，</w:t>
      </w:r>
      <w:r>
        <w:rPr>
          <w:rFonts w:hint="default" w:ascii="Times New Roman" w:hAnsi="Times New Roman" w:eastAsia="仿宋_GB2312" w:cs="Times New Roman"/>
          <w:b w:val="0"/>
          <w:bCs w:val="0"/>
          <w:color w:val="auto"/>
          <w:kern w:val="0"/>
          <w:sz w:val="32"/>
          <w:szCs w:val="32"/>
          <w:highlight w:val="none"/>
        </w:rPr>
        <w:t>由主管部门审核后报</w:t>
      </w:r>
      <w:r>
        <w:rPr>
          <w:rFonts w:hint="default" w:ascii="Times New Roman" w:hAnsi="Times New Roman" w:eastAsia="仿宋_GB2312" w:cs="Times New Roman"/>
          <w:b w:val="0"/>
          <w:bCs w:val="0"/>
          <w:color w:val="auto"/>
          <w:kern w:val="0"/>
          <w:sz w:val="32"/>
          <w:szCs w:val="32"/>
          <w:highlight w:val="none"/>
          <w:lang w:eastAsia="zh-CN"/>
        </w:rPr>
        <w:t>市</w:t>
      </w:r>
      <w:r>
        <w:rPr>
          <w:rFonts w:hint="default" w:ascii="Times New Roman" w:hAnsi="Times New Roman" w:eastAsia="仿宋_GB2312" w:cs="Times New Roman"/>
          <w:b w:val="0"/>
          <w:bCs w:val="0"/>
          <w:color w:val="auto"/>
          <w:kern w:val="0"/>
          <w:sz w:val="32"/>
          <w:szCs w:val="32"/>
          <w:highlight w:val="none"/>
        </w:rPr>
        <w:t>财政</w:t>
      </w:r>
      <w:r>
        <w:rPr>
          <w:rFonts w:hint="default" w:ascii="Times New Roman" w:hAnsi="Times New Roman" w:eastAsia="仿宋_GB2312" w:cs="Times New Roman"/>
          <w:b w:val="0"/>
          <w:bCs w:val="0"/>
          <w:color w:val="auto"/>
          <w:kern w:val="0"/>
          <w:sz w:val="32"/>
          <w:szCs w:val="32"/>
          <w:highlight w:val="none"/>
          <w:lang w:eastAsia="zh-CN"/>
        </w:rPr>
        <w:t>局</w:t>
      </w:r>
      <w:r>
        <w:rPr>
          <w:rFonts w:hint="default" w:ascii="Times New Roman" w:hAnsi="Times New Roman" w:eastAsia="仿宋_GB2312" w:cs="Times New Roman"/>
          <w:b w:val="0"/>
          <w:bCs w:val="0"/>
          <w:color w:val="auto"/>
          <w:kern w:val="0"/>
          <w:sz w:val="32"/>
          <w:szCs w:val="32"/>
          <w:highlight w:val="none"/>
        </w:rPr>
        <w:t>审</w:t>
      </w:r>
      <w:r>
        <w:rPr>
          <w:rFonts w:hint="default" w:ascii="Times New Roman" w:hAnsi="Times New Roman" w:eastAsia="仿宋_GB2312" w:cs="Times New Roman"/>
          <w:b w:val="0"/>
          <w:bCs w:val="0"/>
          <w:color w:val="auto"/>
          <w:kern w:val="0"/>
          <w:sz w:val="32"/>
          <w:szCs w:val="32"/>
          <w:highlight w:val="none"/>
          <w:lang w:val="en-US" w:eastAsia="zh-CN"/>
        </w:rPr>
        <w:t>批</w:t>
      </w:r>
      <w:r>
        <w:rPr>
          <w:rFonts w:hint="default" w:ascii="Times New Roman" w:hAnsi="Times New Roman" w:eastAsia="仿宋_GB2312" w:cs="Times New Roman"/>
          <w:b w:val="0"/>
          <w:bCs w:val="0"/>
          <w:color w:val="auto"/>
          <w:kern w:val="0"/>
          <w:sz w:val="32"/>
          <w:szCs w:val="32"/>
          <w:highlight w:val="none"/>
        </w:rPr>
        <w:t>。</w:t>
      </w:r>
    </w:p>
    <w:p w14:paraId="7DCABEB4">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kern w:val="0"/>
          <w:sz w:val="32"/>
          <w:szCs w:val="32"/>
          <w:highlight w:val="none"/>
          <w:lang w:eastAsia="zh-CN"/>
        </w:rPr>
      </w:pPr>
      <w:r>
        <w:rPr>
          <w:rFonts w:hint="default" w:ascii="Times New Roman" w:hAnsi="Times New Roman" w:eastAsia="仿宋_GB2312" w:cs="Times New Roman"/>
          <w:b w:val="0"/>
          <w:bCs w:val="0"/>
          <w:color w:val="auto"/>
          <w:kern w:val="0"/>
          <w:sz w:val="32"/>
          <w:szCs w:val="32"/>
          <w:highlight w:val="none"/>
          <w:lang w:eastAsia="zh-CN"/>
        </w:rPr>
        <w:t>（六）市直行政事业单位分立、撤销、合并、改制、隶属关系改变等情形发生的整体资产处置事项，</w:t>
      </w:r>
      <w:r>
        <w:rPr>
          <w:rFonts w:hint="default" w:ascii="Times New Roman" w:hAnsi="Times New Roman" w:eastAsia="仿宋_GB2312" w:cs="Times New Roman"/>
          <w:b w:val="0"/>
          <w:bCs w:val="0"/>
          <w:color w:val="auto"/>
          <w:kern w:val="0"/>
          <w:sz w:val="32"/>
          <w:szCs w:val="32"/>
          <w:highlight w:val="none"/>
        </w:rPr>
        <w:t>由主管部门审核后报</w:t>
      </w:r>
      <w:r>
        <w:rPr>
          <w:rFonts w:hint="default" w:ascii="Times New Roman" w:hAnsi="Times New Roman" w:eastAsia="仿宋_GB2312" w:cs="Times New Roman"/>
          <w:b w:val="0"/>
          <w:bCs w:val="0"/>
          <w:color w:val="auto"/>
          <w:kern w:val="0"/>
          <w:sz w:val="32"/>
          <w:szCs w:val="32"/>
          <w:highlight w:val="none"/>
          <w:lang w:eastAsia="zh-CN"/>
        </w:rPr>
        <w:t>市</w:t>
      </w:r>
      <w:r>
        <w:rPr>
          <w:rFonts w:hint="default" w:ascii="Times New Roman" w:hAnsi="Times New Roman" w:eastAsia="仿宋_GB2312" w:cs="Times New Roman"/>
          <w:b w:val="0"/>
          <w:bCs w:val="0"/>
          <w:color w:val="auto"/>
          <w:kern w:val="0"/>
          <w:sz w:val="32"/>
          <w:szCs w:val="32"/>
          <w:highlight w:val="none"/>
        </w:rPr>
        <w:t>财政</w:t>
      </w:r>
      <w:r>
        <w:rPr>
          <w:rFonts w:hint="default" w:ascii="Times New Roman" w:hAnsi="Times New Roman" w:eastAsia="仿宋_GB2312" w:cs="Times New Roman"/>
          <w:b w:val="0"/>
          <w:bCs w:val="0"/>
          <w:color w:val="auto"/>
          <w:kern w:val="0"/>
          <w:sz w:val="32"/>
          <w:szCs w:val="32"/>
          <w:highlight w:val="none"/>
          <w:lang w:eastAsia="zh-CN"/>
        </w:rPr>
        <w:t>局</w:t>
      </w:r>
      <w:r>
        <w:rPr>
          <w:rFonts w:hint="default" w:ascii="Times New Roman" w:hAnsi="Times New Roman" w:eastAsia="仿宋_GB2312" w:cs="Times New Roman"/>
          <w:b w:val="0"/>
          <w:bCs w:val="0"/>
          <w:color w:val="auto"/>
          <w:kern w:val="0"/>
          <w:sz w:val="32"/>
          <w:szCs w:val="32"/>
          <w:highlight w:val="none"/>
        </w:rPr>
        <w:t>审</w:t>
      </w:r>
      <w:r>
        <w:rPr>
          <w:rFonts w:hint="default" w:ascii="Times New Roman" w:hAnsi="Times New Roman" w:eastAsia="仿宋_GB2312" w:cs="Times New Roman"/>
          <w:b w:val="0"/>
          <w:bCs w:val="0"/>
          <w:color w:val="auto"/>
          <w:kern w:val="0"/>
          <w:sz w:val="32"/>
          <w:szCs w:val="32"/>
          <w:highlight w:val="none"/>
          <w:lang w:val="en-US" w:eastAsia="zh-CN"/>
        </w:rPr>
        <w:t>批</w:t>
      </w:r>
      <w:r>
        <w:rPr>
          <w:rFonts w:hint="default" w:ascii="Times New Roman" w:hAnsi="Times New Roman" w:eastAsia="仿宋_GB2312" w:cs="Times New Roman"/>
          <w:b w:val="0"/>
          <w:bCs w:val="0"/>
          <w:color w:val="auto"/>
          <w:kern w:val="0"/>
          <w:sz w:val="32"/>
          <w:szCs w:val="32"/>
          <w:highlight w:val="none"/>
        </w:rPr>
        <w:t>。</w:t>
      </w:r>
    </w:p>
    <w:p w14:paraId="3E24AA10">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kern w:val="0"/>
          <w:sz w:val="32"/>
          <w:szCs w:val="32"/>
          <w:highlight w:val="none"/>
          <w:u w:val="none"/>
          <w:lang w:val="en-US" w:eastAsia="zh-CN"/>
        </w:rPr>
      </w:pPr>
      <w:r>
        <w:rPr>
          <w:rFonts w:hint="default" w:ascii="Times New Roman" w:hAnsi="Times New Roman" w:eastAsia="仿宋_GB2312" w:cs="Times New Roman"/>
          <w:b w:val="0"/>
          <w:bCs w:val="0"/>
          <w:color w:val="auto"/>
          <w:kern w:val="0"/>
          <w:sz w:val="32"/>
          <w:szCs w:val="32"/>
          <w:highlight w:val="none"/>
          <w:lang w:eastAsia="zh-CN"/>
        </w:rPr>
        <w:t>（七）除上述以外的资产处置事项，由主管部门审批</w:t>
      </w:r>
      <w:r>
        <w:rPr>
          <w:rFonts w:hint="default" w:ascii="Times New Roman" w:hAnsi="Times New Roman" w:eastAsia="仿宋_GB2312" w:cs="Times New Roman"/>
          <w:color w:val="auto"/>
          <w:kern w:val="0"/>
          <w:sz w:val="32"/>
          <w:szCs w:val="32"/>
          <w:highlight w:val="none"/>
          <w:lang w:val="en-US" w:eastAsia="zh-CN"/>
        </w:rPr>
        <w:t>。</w:t>
      </w:r>
    </w:p>
    <w:p w14:paraId="0B1E7202">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kern w:val="0"/>
          <w:sz w:val="32"/>
          <w:szCs w:val="32"/>
          <w:highlight w:val="none"/>
          <w:u w:val="none"/>
        </w:rPr>
        <w:t>第</w:t>
      </w:r>
      <w:r>
        <w:rPr>
          <w:rFonts w:hint="default" w:ascii="Times New Roman" w:hAnsi="Times New Roman" w:eastAsia="仿宋_GB2312" w:cs="Times New Roman"/>
          <w:b/>
          <w:bCs/>
          <w:color w:val="auto"/>
          <w:kern w:val="0"/>
          <w:sz w:val="32"/>
          <w:szCs w:val="32"/>
          <w:highlight w:val="none"/>
          <w:u w:val="none"/>
          <w:lang w:eastAsia="zh-CN"/>
        </w:rPr>
        <w:t>四十六条</w:t>
      </w:r>
      <w:r>
        <w:rPr>
          <w:rFonts w:hint="default" w:ascii="Times New Roman" w:hAnsi="Times New Roman" w:eastAsia="仿宋_GB2312" w:cs="Times New Roman"/>
          <w:b/>
          <w:bCs/>
          <w:color w:val="auto"/>
          <w:kern w:val="0"/>
          <w:sz w:val="32"/>
          <w:szCs w:val="32"/>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eastAsia="zh-CN"/>
        </w:rPr>
        <w:t>国家设立的</w:t>
      </w:r>
      <w:r>
        <w:rPr>
          <w:rFonts w:hint="default" w:ascii="Times New Roman" w:hAnsi="Times New Roman" w:eastAsia="仿宋_GB2312" w:cs="Times New Roman"/>
          <w:color w:val="auto"/>
          <w:kern w:val="0"/>
          <w:sz w:val="32"/>
          <w:szCs w:val="32"/>
          <w:highlight w:val="none"/>
          <w:u w:val="none"/>
        </w:rPr>
        <w:t>研究开发机构、高等院校</w:t>
      </w:r>
      <w:r>
        <w:rPr>
          <w:rFonts w:hint="default" w:ascii="Times New Roman" w:hAnsi="Times New Roman" w:eastAsia="仿宋_GB2312" w:cs="Times New Roman"/>
          <w:color w:val="auto"/>
          <w:kern w:val="0"/>
          <w:sz w:val="32"/>
          <w:szCs w:val="32"/>
          <w:highlight w:val="none"/>
          <w:u w:val="none"/>
          <w:lang w:eastAsia="zh-CN"/>
        </w:rPr>
        <w:t>、医疗卫生机构</w:t>
      </w:r>
      <w:r>
        <w:rPr>
          <w:rFonts w:hint="default" w:ascii="Times New Roman" w:hAnsi="Times New Roman" w:eastAsia="仿宋_GB2312" w:cs="Times New Roman"/>
          <w:color w:val="auto"/>
          <w:kern w:val="0"/>
          <w:sz w:val="32"/>
          <w:szCs w:val="32"/>
          <w:highlight w:val="none"/>
          <w:u w:val="none"/>
        </w:rPr>
        <w:t>对持有的</w:t>
      </w:r>
      <w:r>
        <w:rPr>
          <w:rFonts w:hint="default" w:ascii="Times New Roman" w:hAnsi="Times New Roman" w:eastAsia="仿宋_GB2312" w:cs="Times New Roman"/>
          <w:color w:val="auto"/>
          <w:kern w:val="0"/>
          <w:sz w:val="32"/>
          <w:szCs w:val="32"/>
          <w:highlight w:val="none"/>
        </w:rPr>
        <w:t>科技成果，可以自主决定转让，不需报</w:t>
      </w:r>
      <w:r>
        <w:rPr>
          <w:rFonts w:hint="default" w:ascii="Times New Roman" w:hAnsi="Times New Roman" w:eastAsia="仿宋_GB2312" w:cs="Times New Roman"/>
          <w:color w:val="auto"/>
          <w:kern w:val="0"/>
          <w:sz w:val="32"/>
          <w:szCs w:val="32"/>
          <w:highlight w:val="none"/>
          <w:lang w:eastAsia="zh-CN"/>
        </w:rPr>
        <w:t>主管</w:t>
      </w:r>
      <w:r>
        <w:rPr>
          <w:rFonts w:hint="default" w:ascii="Times New Roman" w:hAnsi="Times New Roman" w:eastAsia="仿宋_GB2312" w:cs="Times New Roman"/>
          <w:color w:val="auto"/>
          <w:kern w:val="0"/>
          <w:sz w:val="32"/>
          <w:szCs w:val="32"/>
          <w:highlight w:val="none"/>
        </w:rPr>
        <w:t>部门和财政部</w:t>
      </w:r>
      <w:r>
        <w:rPr>
          <w:rFonts w:hint="default" w:ascii="Times New Roman" w:hAnsi="Times New Roman" w:eastAsia="仿宋_GB2312" w:cs="Times New Roman"/>
          <w:color w:val="auto"/>
          <w:kern w:val="0"/>
          <w:sz w:val="32"/>
          <w:szCs w:val="32"/>
          <w:highlight w:val="none"/>
          <w:lang w:eastAsia="zh-CN"/>
        </w:rPr>
        <w:t>门</w:t>
      </w:r>
      <w:r>
        <w:rPr>
          <w:rFonts w:hint="default" w:ascii="Times New Roman" w:hAnsi="Times New Roman" w:eastAsia="仿宋_GB2312" w:cs="Times New Roman"/>
          <w:color w:val="auto"/>
          <w:kern w:val="0"/>
          <w:sz w:val="32"/>
          <w:szCs w:val="32"/>
          <w:highlight w:val="none"/>
        </w:rPr>
        <w:t>审批或者备案。涉及国家秘密、国家安全及关键核心技术的科技成果转让，由</w:t>
      </w:r>
      <w:r>
        <w:rPr>
          <w:rFonts w:hint="default" w:ascii="Times New Roman" w:hAnsi="Times New Roman" w:eastAsia="仿宋_GB2312" w:cs="Times New Roman"/>
          <w:color w:val="auto"/>
          <w:kern w:val="0"/>
          <w:sz w:val="32"/>
          <w:szCs w:val="32"/>
          <w:highlight w:val="none"/>
          <w:lang w:eastAsia="zh-CN"/>
        </w:rPr>
        <w:t>主管</w:t>
      </w:r>
      <w:r>
        <w:rPr>
          <w:rFonts w:hint="default" w:ascii="Times New Roman" w:hAnsi="Times New Roman" w:eastAsia="仿宋_GB2312" w:cs="Times New Roman"/>
          <w:color w:val="auto"/>
          <w:kern w:val="0"/>
          <w:sz w:val="32"/>
          <w:szCs w:val="32"/>
          <w:highlight w:val="none"/>
        </w:rPr>
        <w:t>部门按照国家有关保密制度的规定审批。</w:t>
      </w:r>
    </w:p>
    <w:p w14:paraId="201417D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eastAsia="zh-CN"/>
        </w:rPr>
        <w:t>国家设立的</w:t>
      </w:r>
      <w:r>
        <w:rPr>
          <w:rFonts w:hint="default" w:ascii="Times New Roman" w:hAnsi="Times New Roman" w:eastAsia="仿宋_GB2312" w:cs="Times New Roman"/>
          <w:color w:val="auto"/>
          <w:kern w:val="0"/>
          <w:sz w:val="32"/>
          <w:szCs w:val="32"/>
          <w:highlight w:val="none"/>
        </w:rPr>
        <w:t>研究开发机构、高等院校</w:t>
      </w:r>
      <w:r>
        <w:rPr>
          <w:rFonts w:hint="default" w:ascii="Times New Roman" w:hAnsi="Times New Roman" w:eastAsia="仿宋_GB2312" w:cs="Times New Roman"/>
          <w:color w:val="auto"/>
          <w:kern w:val="0"/>
          <w:sz w:val="32"/>
          <w:szCs w:val="32"/>
          <w:highlight w:val="none"/>
          <w:u w:val="none"/>
          <w:lang w:eastAsia="zh-CN"/>
        </w:rPr>
        <w:t>、</w:t>
      </w:r>
      <w:r>
        <w:rPr>
          <w:rFonts w:hint="default" w:ascii="Times New Roman" w:hAnsi="Times New Roman" w:eastAsia="仿宋_GB2312" w:cs="Times New Roman"/>
          <w:i w:val="0"/>
          <w:iCs w:val="0"/>
          <w:color w:val="auto"/>
          <w:kern w:val="0"/>
          <w:sz w:val="32"/>
          <w:szCs w:val="32"/>
          <w:highlight w:val="none"/>
          <w:u w:val="none"/>
          <w:lang w:eastAsia="zh-CN"/>
        </w:rPr>
        <w:t>医疗卫生机构</w:t>
      </w:r>
      <w:r>
        <w:rPr>
          <w:rFonts w:hint="default" w:ascii="Times New Roman" w:hAnsi="Times New Roman" w:eastAsia="仿宋_GB2312" w:cs="Times New Roman"/>
          <w:color w:val="auto"/>
          <w:kern w:val="0"/>
          <w:sz w:val="32"/>
          <w:szCs w:val="32"/>
          <w:highlight w:val="none"/>
          <w:u w:val="none"/>
        </w:rPr>
        <w:t>以科技成果作价投资形成的国有股权无偿划转、转让、损失核销等处置事项，由</w:t>
      </w:r>
      <w:r>
        <w:rPr>
          <w:rFonts w:hint="default" w:ascii="Times New Roman" w:hAnsi="Times New Roman" w:eastAsia="仿宋_GB2312" w:cs="Times New Roman"/>
          <w:color w:val="auto"/>
          <w:kern w:val="0"/>
          <w:sz w:val="32"/>
          <w:szCs w:val="32"/>
          <w:highlight w:val="none"/>
          <w:u w:val="none"/>
          <w:lang w:eastAsia="zh-CN"/>
        </w:rPr>
        <w:t>其主管</w:t>
      </w:r>
      <w:r>
        <w:rPr>
          <w:rFonts w:hint="default" w:ascii="Times New Roman" w:hAnsi="Times New Roman" w:eastAsia="仿宋_GB2312" w:cs="Times New Roman"/>
          <w:color w:val="auto"/>
          <w:kern w:val="0"/>
          <w:sz w:val="32"/>
          <w:szCs w:val="32"/>
          <w:highlight w:val="none"/>
          <w:u w:val="none"/>
        </w:rPr>
        <w:t>部门审批。</w:t>
      </w:r>
    </w:p>
    <w:p w14:paraId="7963B1D5">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eastAsia="zh-CN"/>
        </w:rPr>
        <w:t>第</w:t>
      </w:r>
      <w:r>
        <w:rPr>
          <w:rFonts w:hint="default" w:ascii="Times New Roman" w:hAnsi="Times New Roman" w:eastAsia="仿宋_GB2312" w:cs="Times New Roman"/>
          <w:b/>
          <w:bCs/>
          <w:color w:val="auto"/>
          <w:kern w:val="0"/>
          <w:sz w:val="32"/>
          <w:szCs w:val="32"/>
          <w:highlight w:val="none"/>
          <w:lang w:val="en-US" w:eastAsia="zh-CN"/>
        </w:rPr>
        <w:t>四十七</w:t>
      </w:r>
      <w:r>
        <w:rPr>
          <w:rFonts w:hint="default" w:ascii="Times New Roman" w:hAnsi="Times New Roman" w:eastAsia="仿宋_GB2312" w:cs="Times New Roman"/>
          <w:b/>
          <w:bCs/>
          <w:color w:val="auto"/>
          <w:kern w:val="0"/>
          <w:sz w:val="32"/>
          <w:szCs w:val="32"/>
          <w:highlight w:val="none"/>
          <w:lang w:eastAsia="zh-CN"/>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rPr>
        <w:t>在突发公共卫生事件或者国家重大自然灾害等应急情况下，相关单位可本着急事急办、特事特办的原则，按照主管部门要求履行相关程序后处置国有资产，待应急事件结束后</w:t>
      </w:r>
      <w:r>
        <w:rPr>
          <w:rFonts w:hint="default" w:ascii="Times New Roman" w:hAnsi="Times New Roman" w:eastAsia="仿宋_GB2312" w:cs="Times New Roman"/>
          <w:color w:val="auto"/>
          <w:kern w:val="0"/>
          <w:sz w:val="32"/>
          <w:szCs w:val="32"/>
          <w:highlight w:val="none"/>
          <w:lang w:eastAsia="zh-CN"/>
        </w:rPr>
        <w:t>报主管部门备案。</w:t>
      </w:r>
    </w:p>
    <w:p w14:paraId="53466641">
      <w:pPr>
        <w:keepNext w:val="0"/>
        <w:keepLines w:val="0"/>
        <w:pageBreakBefore w:val="0"/>
        <w:widowControl w:val="0"/>
        <w:shd w:val="clear" w:color="auto" w:fill="FFFFFF"/>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shd w:val="clear" w:color="auto" w:fill="FFFFFF"/>
        </w:rPr>
      </w:pPr>
      <w:r>
        <w:rPr>
          <w:rFonts w:hint="default" w:ascii="Times New Roman" w:hAnsi="Times New Roman" w:eastAsia="仿宋_GB2312" w:cs="Times New Roman"/>
          <w:b/>
          <w:bCs/>
          <w:color w:val="auto"/>
          <w:kern w:val="0"/>
          <w:sz w:val="32"/>
          <w:szCs w:val="32"/>
          <w:highlight w:val="none"/>
          <w:lang w:eastAsia="zh-CN"/>
        </w:rPr>
        <w:t>第四十八条</w:t>
      </w:r>
      <w:r>
        <w:rPr>
          <w:rFonts w:hint="eastAsia"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shd w:val="clear" w:color="auto" w:fill="FFFFFF"/>
          <w:lang w:eastAsia="zh-CN"/>
        </w:rPr>
        <w:t>市直</w:t>
      </w:r>
      <w:r>
        <w:rPr>
          <w:rFonts w:hint="default" w:ascii="Times New Roman" w:hAnsi="Times New Roman" w:eastAsia="仿宋_GB2312" w:cs="Times New Roman"/>
          <w:color w:val="auto"/>
          <w:kern w:val="0"/>
          <w:sz w:val="32"/>
          <w:szCs w:val="32"/>
          <w:highlight w:val="none"/>
          <w:shd w:val="clear" w:color="auto" w:fill="FFFFFF"/>
        </w:rPr>
        <w:t>行政事业单位资产处置事项，应</w:t>
      </w:r>
      <w:r>
        <w:rPr>
          <w:rFonts w:hint="eastAsia" w:ascii="Times New Roman" w:hAnsi="Times New Roman" w:eastAsia="仿宋_GB2312" w:cs="Times New Roman"/>
          <w:color w:val="auto"/>
          <w:kern w:val="0"/>
          <w:sz w:val="32"/>
          <w:szCs w:val="32"/>
          <w:highlight w:val="none"/>
          <w:shd w:val="clear" w:color="auto" w:fill="FFFFFF"/>
          <w:lang w:eastAsia="zh-CN"/>
        </w:rPr>
        <w:t>当</w:t>
      </w:r>
      <w:r>
        <w:rPr>
          <w:rFonts w:hint="default" w:ascii="Times New Roman" w:hAnsi="Times New Roman" w:eastAsia="仿宋_GB2312" w:cs="Times New Roman"/>
          <w:color w:val="auto"/>
          <w:kern w:val="0"/>
          <w:sz w:val="32"/>
          <w:szCs w:val="32"/>
          <w:highlight w:val="none"/>
          <w:shd w:val="clear" w:color="auto" w:fill="FFFFFF"/>
        </w:rPr>
        <w:t>按照以下程序进行：</w:t>
      </w:r>
    </w:p>
    <w:p w14:paraId="151E3C0E">
      <w:pPr>
        <w:keepNext w:val="0"/>
        <w:keepLines w:val="0"/>
        <w:pageBreakBefore w:val="0"/>
        <w:widowControl w:val="0"/>
        <w:shd w:val="clear" w:color="auto" w:fill="FFFFFF"/>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shd w:val="clear" w:color="auto" w:fill="FFFFFF"/>
        </w:rPr>
      </w:pPr>
      <w:r>
        <w:rPr>
          <w:rFonts w:hint="default" w:ascii="Times New Roman" w:hAnsi="Times New Roman" w:eastAsia="仿宋_GB2312" w:cs="Times New Roman"/>
          <w:color w:val="auto"/>
          <w:kern w:val="0"/>
          <w:sz w:val="32"/>
          <w:szCs w:val="32"/>
          <w:highlight w:val="none"/>
          <w:shd w:val="clear" w:color="auto" w:fill="FFFFFF"/>
        </w:rPr>
        <w:t>（一）单位申请。</w:t>
      </w:r>
      <w:r>
        <w:rPr>
          <w:rFonts w:hint="default" w:ascii="Times New Roman" w:hAnsi="Times New Roman" w:eastAsia="仿宋_GB2312" w:cs="Times New Roman"/>
          <w:color w:val="auto"/>
          <w:kern w:val="0"/>
          <w:sz w:val="32"/>
          <w:szCs w:val="32"/>
          <w:highlight w:val="none"/>
          <w:shd w:val="clear" w:color="auto" w:fill="FFFFFF"/>
          <w:lang w:eastAsia="zh-CN"/>
        </w:rPr>
        <w:t>市直</w:t>
      </w:r>
      <w:r>
        <w:rPr>
          <w:rFonts w:hint="default" w:ascii="Times New Roman" w:hAnsi="Times New Roman" w:eastAsia="仿宋_GB2312" w:cs="Times New Roman"/>
          <w:color w:val="auto"/>
          <w:kern w:val="0"/>
          <w:sz w:val="32"/>
          <w:szCs w:val="32"/>
          <w:highlight w:val="none"/>
          <w:shd w:val="clear" w:color="auto" w:fill="FFFFFF"/>
        </w:rPr>
        <w:t>行政事业单位在预算管理一体化资产管理系统提交资产处置申请，报送申请文件及相关材料并填写处置申请表，向主管部门申报。</w:t>
      </w:r>
    </w:p>
    <w:p w14:paraId="2A4C45CF">
      <w:pPr>
        <w:keepNext w:val="0"/>
        <w:keepLines w:val="0"/>
        <w:pageBreakBefore w:val="0"/>
        <w:widowControl w:val="0"/>
        <w:shd w:val="clear" w:color="auto" w:fill="FFFFFF"/>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shd w:val="clear" w:color="auto" w:fill="FFFFFF"/>
        </w:rPr>
      </w:pPr>
      <w:r>
        <w:rPr>
          <w:rFonts w:hint="default" w:ascii="Times New Roman" w:hAnsi="Times New Roman" w:eastAsia="仿宋_GB2312" w:cs="Times New Roman"/>
          <w:color w:val="auto"/>
          <w:kern w:val="0"/>
          <w:sz w:val="32"/>
          <w:szCs w:val="32"/>
          <w:highlight w:val="none"/>
          <w:shd w:val="clear" w:color="auto" w:fill="FFFFFF"/>
        </w:rPr>
        <w:t>（二）主管部门审核（批）。主管部门对所属单位资产处置申请进行合规性审核，符合规定且在权限范围内的，由主管部门及时批复；超过规定权限的，由主管部门审核同意后按程序按资产类别报</w:t>
      </w:r>
      <w:r>
        <w:rPr>
          <w:rFonts w:hint="default" w:ascii="Times New Roman" w:hAnsi="Times New Roman" w:eastAsia="仿宋_GB2312" w:cs="Times New Roman"/>
          <w:color w:val="auto"/>
          <w:kern w:val="0"/>
          <w:sz w:val="32"/>
          <w:szCs w:val="32"/>
          <w:highlight w:val="none"/>
          <w:shd w:val="clear" w:color="auto" w:fill="FFFFFF"/>
          <w:lang w:eastAsia="zh-CN"/>
        </w:rPr>
        <w:t>市财政局</w:t>
      </w:r>
      <w:r>
        <w:rPr>
          <w:rFonts w:hint="default" w:ascii="Times New Roman" w:hAnsi="Times New Roman" w:eastAsia="仿宋_GB2312" w:cs="Times New Roman"/>
          <w:color w:val="auto"/>
          <w:kern w:val="0"/>
          <w:sz w:val="32"/>
          <w:szCs w:val="32"/>
          <w:highlight w:val="none"/>
          <w:shd w:val="clear" w:color="auto" w:fill="FFFFFF"/>
        </w:rPr>
        <w:t>或</w:t>
      </w:r>
      <w:r>
        <w:rPr>
          <w:rFonts w:hint="default" w:ascii="Times New Roman" w:hAnsi="Times New Roman" w:eastAsia="仿宋_GB2312" w:cs="Times New Roman"/>
          <w:color w:val="auto"/>
          <w:kern w:val="0"/>
          <w:sz w:val="32"/>
          <w:szCs w:val="32"/>
          <w:highlight w:val="none"/>
          <w:shd w:val="clear" w:color="auto" w:fill="FFFFFF"/>
          <w:lang w:eastAsia="zh-CN"/>
        </w:rPr>
        <w:t>市机关事务服务中心</w:t>
      </w:r>
      <w:r>
        <w:rPr>
          <w:rFonts w:hint="default" w:ascii="Times New Roman" w:hAnsi="Times New Roman" w:eastAsia="仿宋_GB2312" w:cs="Times New Roman"/>
          <w:color w:val="auto"/>
          <w:kern w:val="0"/>
          <w:sz w:val="32"/>
          <w:szCs w:val="32"/>
          <w:highlight w:val="none"/>
          <w:shd w:val="clear" w:color="auto" w:fill="FFFFFF"/>
        </w:rPr>
        <w:t>审批。</w:t>
      </w:r>
    </w:p>
    <w:p w14:paraId="091B23A2">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（三）</w:t>
      </w:r>
      <w:r>
        <w:rPr>
          <w:rFonts w:hint="default" w:ascii="Times New Roman" w:hAnsi="Times New Roman" w:eastAsia="仿宋_GB2312" w:cs="Times New Roman"/>
          <w:color w:val="auto"/>
          <w:kern w:val="0"/>
          <w:sz w:val="32"/>
          <w:szCs w:val="32"/>
          <w:highlight w:val="none"/>
          <w:lang w:eastAsia="zh-CN"/>
        </w:rPr>
        <w:t>市财政局等部门</w:t>
      </w:r>
      <w:r>
        <w:rPr>
          <w:rFonts w:hint="default" w:ascii="Times New Roman" w:hAnsi="Times New Roman" w:eastAsia="仿宋_GB2312" w:cs="Times New Roman"/>
          <w:color w:val="auto"/>
          <w:kern w:val="0"/>
          <w:sz w:val="32"/>
          <w:szCs w:val="32"/>
          <w:highlight w:val="none"/>
          <w:shd w:val="clear" w:color="auto" w:fill="FFFFFF"/>
        </w:rPr>
        <w:t>审核（批）</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lang w:eastAsia="zh-CN"/>
        </w:rPr>
        <w:t>市财政局</w:t>
      </w:r>
      <w:r>
        <w:rPr>
          <w:rFonts w:hint="default" w:ascii="Times New Roman" w:hAnsi="Times New Roman" w:eastAsia="仿宋_GB2312" w:cs="Times New Roman"/>
          <w:color w:val="auto"/>
          <w:kern w:val="0"/>
          <w:sz w:val="32"/>
          <w:szCs w:val="32"/>
          <w:highlight w:val="none"/>
        </w:rPr>
        <w:t>按照规定的权限，对主管部门审核同意的国有资产处置申请进行审核，符合规定的及时批复。</w:t>
      </w:r>
      <w:r>
        <w:rPr>
          <w:rFonts w:hint="default" w:ascii="Times New Roman" w:hAnsi="Times New Roman" w:eastAsia="仿宋_GB2312" w:cs="Times New Roman"/>
          <w:color w:val="auto"/>
          <w:kern w:val="0"/>
          <w:sz w:val="32"/>
          <w:szCs w:val="32"/>
          <w:highlight w:val="none"/>
          <w:lang w:eastAsia="zh-CN"/>
        </w:rPr>
        <w:t>市财政局、市机关事务服务中心、市自然资源和城乡建设局</w:t>
      </w:r>
      <w:r>
        <w:rPr>
          <w:rFonts w:hint="default" w:ascii="Times New Roman" w:hAnsi="Times New Roman" w:eastAsia="仿宋_GB2312" w:cs="Times New Roman"/>
          <w:color w:val="auto"/>
          <w:kern w:val="0"/>
          <w:sz w:val="32"/>
          <w:szCs w:val="32"/>
          <w:highlight w:val="none"/>
          <w:shd w:val="clear" w:color="auto" w:fill="FFFFFF"/>
        </w:rPr>
        <w:t>按资产类别</w:t>
      </w:r>
      <w:r>
        <w:rPr>
          <w:rFonts w:hint="default" w:ascii="Times New Roman" w:hAnsi="Times New Roman" w:eastAsia="仿宋_GB2312" w:cs="Times New Roman"/>
          <w:color w:val="auto"/>
          <w:kern w:val="0"/>
          <w:sz w:val="32"/>
          <w:szCs w:val="32"/>
          <w:highlight w:val="none"/>
          <w:shd w:val="clear" w:color="auto" w:fill="FFFFFF"/>
          <w:lang w:eastAsia="zh-CN"/>
        </w:rPr>
        <w:t>及</w:t>
      </w:r>
      <w:r>
        <w:rPr>
          <w:rFonts w:hint="default" w:ascii="Times New Roman" w:hAnsi="Times New Roman" w:eastAsia="仿宋_GB2312" w:cs="Times New Roman"/>
          <w:b w:val="0"/>
          <w:bCs w:val="0"/>
          <w:color w:val="auto"/>
          <w:kern w:val="0"/>
          <w:sz w:val="32"/>
          <w:szCs w:val="32"/>
          <w:highlight w:val="none"/>
          <w:u w:val="none"/>
          <w:lang w:eastAsia="zh-CN"/>
        </w:rPr>
        <w:t>规定权限进行审核、批复。</w:t>
      </w:r>
    </w:p>
    <w:p w14:paraId="28E5206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（四）处置执行。</w:t>
      </w:r>
      <w:r>
        <w:rPr>
          <w:rFonts w:hint="default" w:ascii="Times New Roman" w:hAnsi="Times New Roman" w:eastAsia="仿宋_GB2312" w:cs="Times New Roman"/>
          <w:color w:val="auto"/>
          <w:kern w:val="0"/>
          <w:sz w:val="32"/>
          <w:szCs w:val="32"/>
          <w:highlight w:val="none"/>
          <w:lang w:eastAsia="zh-CN"/>
        </w:rPr>
        <w:t>市直</w:t>
      </w:r>
      <w:r>
        <w:rPr>
          <w:rFonts w:hint="default" w:ascii="Times New Roman" w:hAnsi="Times New Roman" w:eastAsia="仿宋_GB2312" w:cs="Times New Roman"/>
          <w:color w:val="auto"/>
          <w:kern w:val="0"/>
          <w:sz w:val="32"/>
          <w:szCs w:val="32"/>
          <w:highlight w:val="none"/>
        </w:rPr>
        <w:t>行政事业单位取得资产处置事项的批复后，按照资产处置相关规定对拟处置资产实物进行处置，按规定上缴资产处置收入，并办理产权变更或注销手续。</w:t>
      </w:r>
    </w:p>
    <w:p w14:paraId="670B0F60">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rPr>
        <w:t>（五）账务处理。资产实物处置完成后，</w:t>
      </w:r>
      <w:r>
        <w:rPr>
          <w:rFonts w:hint="default" w:ascii="Times New Roman" w:hAnsi="Times New Roman" w:eastAsia="仿宋_GB2312" w:cs="Times New Roman"/>
          <w:color w:val="auto"/>
          <w:kern w:val="0"/>
          <w:sz w:val="32"/>
          <w:szCs w:val="32"/>
          <w:highlight w:val="none"/>
          <w:lang w:eastAsia="zh-CN"/>
        </w:rPr>
        <w:t>市直</w:t>
      </w:r>
      <w:r>
        <w:rPr>
          <w:rFonts w:hint="default" w:ascii="Times New Roman" w:hAnsi="Times New Roman" w:eastAsia="仿宋_GB2312" w:cs="Times New Roman"/>
          <w:color w:val="auto"/>
          <w:kern w:val="0"/>
          <w:sz w:val="32"/>
          <w:szCs w:val="32"/>
          <w:highlight w:val="none"/>
        </w:rPr>
        <w:t>行政事业单位按照行政事业财务规则和政府会计准则制度调整相关会计账目，同时在预算管理一体化资产管理系统内变更登记资产台账。</w:t>
      </w:r>
    </w:p>
    <w:p w14:paraId="65DF796F">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cs="Times New Roman"/>
          <w:color w:val="auto"/>
          <w:highlight w:val="none"/>
          <w:lang w:eastAsia="zh-CN"/>
        </w:rPr>
      </w:pPr>
      <w:r>
        <w:rPr>
          <w:rFonts w:hint="default" w:ascii="Times New Roman" w:hAnsi="Times New Roman" w:eastAsia="仿宋_GB2312" w:cs="Times New Roman"/>
          <w:b/>
          <w:bCs/>
          <w:i w:val="0"/>
          <w:caps w:val="0"/>
          <w:color w:val="auto"/>
          <w:spacing w:val="0"/>
          <w:kern w:val="0"/>
          <w:sz w:val="32"/>
          <w:szCs w:val="32"/>
          <w:highlight w:val="none"/>
          <w:u w:val="none"/>
          <w:shd w:val="clear" w:color="auto" w:fill="FFFFFF"/>
        </w:rPr>
        <w:t>第</w:t>
      </w:r>
      <w:r>
        <w:rPr>
          <w:rFonts w:hint="default" w:ascii="Times New Roman" w:hAnsi="Times New Roman" w:eastAsia="仿宋_GB2312" w:cs="Times New Roman"/>
          <w:b/>
          <w:bCs/>
          <w:i w:val="0"/>
          <w:caps w:val="0"/>
          <w:color w:val="auto"/>
          <w:spacing w:val="0"/>
          <w:kern w:val="0"/>
          <w:sz w:val="32"/>
          <w:szCs w:val="32"/>
          <w:highlight w:val="none"/>
          <w:u w:val="none"/>
          <w:shd w:val="clear" w:color="auto" w:fill="FFFFFF"/>
          <w:lang w:eastAsia="zh-CN"/>
        </w:rPr>
        <w:t>四十九</w:t>
      </w:r>
      <w:r>
        <w:rPr>
          <w:rFonts w:hint="default" w:ascii="Times New Roman" w:hAnsi="Times New Roman" w:eastAsia="仿宋_GB2312" w:cs="Times New Roman"/>
          <w:b/>
          <w:bCs/>
          <w:i w:val="0"/>
          <w:caps w:val="0"/>
          <w:color w:val="auto"/>
          <w:spacing w:val="0"/>
          <w:kern w:val="0"/>
          <w:sz w:val="32"/>
          <w:szCs w:val="32"/>
          <w:highlight w:val="none"/>
          <w:u w:val="none"/>
          <w:shd w:val="clear" w:color="auto" w:fill="FFFFFF"/>
        </w:rPr>
        <w:t>条</w:t>
      </w:r>
      <w:r>
        <w:rPr>
          <w:rFonts w:hint="default" w:ascii="Times New Roman" w:hAnsi="Times New Roman" w:eastAsia="仿宋_GB2312" w:cs="Times New Roman"/>
          <w:b/>
          <w:bCs/>
          <w:i w:val="0"/>
          <w:caps w:val="0"/>
          <w:color w:val="auto"/>
          <w:spacing w:val="0"/>
          <w:kern w:val="0"/>
          <w:sz w:val="32"/>
          <w:szCs w:val="32"/>
          <w:highlight w:val="none"/>
          <w:u w:val="none"/>
          <w:shd w:val="clear" w:color="auto" w:fill="FFFFFF"/>
          <w:lang w:val="en-US" w:eastAsia="zh-CN"/>
        </w:rPr>
        <w:t xml:space="preserve"> </w:t>
      </w:r>
      <w:r>
        <w:rPr>
          <w:rFonts w:hint="default" w:ascii="Times New Roman" w:hAnsi="Times New Roman" w:eastAsia="仿宋_GB2312" w:cs="Times New Roman"/>
          <w:color w:val="auto"/>
          <w:kern w:val="0"/>
          <w:sz w:val="32"/>
          <w:szCs w:val="32"/>
          <w:highlight w:val="none"/>
          <w:u w:val="none"/>
        </w:rPr>
        <w:t>经批准召开的重大会议、举办大型活动等临时购置的国有资产，主办单位应</w:t>
      </w:r>
      <w:r>
        <w:rPr>
          <w:rFonts w:hint="eastAsia" w:ascii="Times New Roman" w:hAnsi="Times New Roman" w:eastAsia="仿宋_GB2312" w:cs="Times New Roman"/>
          <w:color w:val="auto"/>
          <w:kern w:val="0"/>
          <w:sz w:val="32"/>
          <w:szCs w:val="32"/>
          <w:highlight w:val="none"/>
          <w:u w:val="none"/>
          <w:lang w:eastAsia="zh-CN"/>
        </w:rPr>
        <w:t>当</w:t>
      </w:r>
      <w:r>
        <w:rPr>
          <w:rFonts w:hint="default" w:ascii="Times New Roman" w:hAnsi="Times New Roman" w:eastAsia="仿宋_GB2312" w:cs="Times New Roman"/>
          <w:color w:val="auto"/>
          <w:kern w:val="0"/>
          <w:sz w:val="32"/>
          <w:szCs w:val="32"/>
          <w:highlight w:val="none"/>
          <w:u w:val="none"/>
        </w:rPr>
        <w:t>在活动结束后20个工作日内，对资产进行清理</w:t>
      </w:r>
      <w:r>
        <w:rPr>
          <w:rFonts w:hint="default" w:ascii="Times New Roman" w:hAnsi="Times New Roman" w:eastAsia="仿宋_GB2312" w:cs="Times New Roman"/>
          <w:color w:val="auto"/>
          <w:kern w:val="0"/>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rPr>
        <w:t>并</w:t>
      </w:r>
      <w:r>
        <w:rPr>
          <w:rFonts w:hint="default" w:ascii="Times New Roman" w:hAnsi="Times New Roman" w:eastAsia="仿宋_GB2312" w:cs="Times New Roman"/>
          <w:color w:val="auto"/>
          <w:kern w:val="0"/>
          <w:sz w:val="32"/>
          <w:szCs w:val="32"/>
          <w:highlight w:val="none"/>
          <w:u w:val="none"/>
          <w:lang w:eastAsia="zh-CN"/>
        </w:rPr>
        <w:t>移交市级公物仓</w:t>
      </w:r>
      <w:r>
        <w:rPr>
          <w:rFonts w:hint="default" w:ascii="Times New Roman" w:hAnsi="Times New Roman" w:eastAsia="仿宋_GB2312" w:cs="Times New Roman"/>
          <w:color w:val="auto"/>
          <w:kern w:val="0"/>
          <w:sz w:val="32"/>
          <w:szCs w:val="32"/>
          <w:highlight w:val="none"/>
          <w:u w:val="none"/>
        </w:rPr>
        <w:t>。</w:t>
      </w:r>
    </w:p>
    <w:p w14:paraId="1B2BE551">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kern w:val="0"/>
          <w:sz w:val="32"/>
          <w:szCs w:val="32"/>
          <w:highlight w:val="none"/>
          <w:lang w:eastAsia="zh-CN"/>
        </w:rPr>
        <w:t>第五</w:t>
      </w:r>
      <w:r>
        <w:rPr>
          <w:rFonts w:hint="default" w:ascii="Times New Roman" w:hAnsi="Times New Roman" w:eastAsia="仿宋_GB2312" w:cs="Times New Roman"/>
          <w:b/>
          <w:bCs/>
          <w:color w:val="auto"/>
          <w:kern w:val="0"/>
          <w:sz w:val="32"/>
          <w:szCs w:val="32"/>
          <w:highlight w:val="none"/>
        </w:rPr>
        <w:t>十</w:t>
      </w:r>
      <w:r>
        <w:rPr>
          <w:rFonts w:hint="default" w:ascii="Times New Roman" w:hAnsi="Times New Roman" w:eastAsia="仿宋_GB2312" w:cs="Times New Roman"/>
          <w:b/>
          <w:bCs/>
          <w:color w:val="auto"/>
          <w:kern w:val="0"/>
          <w:sz w:val="32"/>
          <w:szCs w:val="32"/>
          <w:highlight w:val="none"/>
          <w:lang w:eastAsia="zh-CN"/>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lang w:val="en-US" w:eastAsia="zh-CN"/>
        </w:rPr>
        <w:t>市直</w:t>
      </w:r>
      <w:r>
        <w:rPr>
          <w:rFonts w:hint="default" w:ascii="Times New Roman" w:hAnsi="Times New Roman" w:eastAsia="仿宋_GB2312" w:cs="Times New Roman"/>
          <w:color w:val="auto"/>
          <w:kern w:val="0"/>
          <w:sz w:val="32"/>
          <w:szCs w:val="32"/>
          <w:highlight w:val="none"/>
        </w:rPr>
        <w:t>行政事业单位应当根据履行职能、事业发展需要和资产使用状况，经单位集体决策和履行审批程序后，依据处置事项批复文件及时处置相关资产。</w:t>
      </w:r>
    </w:p>
    <w:p w14:paraId="4344EB65">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b/>
          <w:bCs/>
          <w:color w:val="auto"/>
          <w:kern w:val="0"/>
          <w:sz w:val="32"/>
          <w:szCs w:val="32"/>
          <w:highlight w:val="none"/>
          <w:lang w:val="en-US" w:eastAsia="zh-CN"/>
        </w:rPr>
        <w:t>第五</w:t>
      </w:r>
      <w:r>
        <w:rPr>
          <w:rFonts w:hint="default" w:ascii="Times New Roman" w:hAnsi="Times New Roman" w:eastAsia="仿宋_GB2312" w:cs="Times New Roman"/>
          <w:b/>
          <w:bCs/>
          <w:color w:val="auto"/>
          <w:kern w:val="0"/>
          <w:sz w:val="32"/>
          <w:szCs w:val="32"/>
          <w:highlight w:val="none"/>
          <w:lang w:eastAsia="zh-CN"/>
        </w:rPr>
        <w:t>十一</w:t>
      </w:r>
      <w:r>
        <w:rPr>
          <w:rFonts w:hint="default" w:ascii="Times New Roman" w:hAnsi="Times New Roman" w:eastAsia="仿宋_GB2312" w:cs="Times New Roman"/>
          <w:b/>
          <w:bCs/>
          <w:color w:val="auto"/>
          <w:kern w:val="0"/>
          <w:sz w:val="32"/>
          <w:szCs w:val="32"/>
          <w:highlight w:val="none"/>
          <w:lang w:val="en-US" w:eastAsia="zh-CN"/>
        </w:rPr>
        <w:t xml:space="preserve">条 </w:t>
      </w:r>
      <w:r>
        <w:rPr>
          <w:rFonts w:hint="default" w:ascii="Times New Roman" w:hAnsi="Times New Roman" w:eastAsia="仿宋_GB2312" w:cs="Times New Roman"/>
          <w:b w:val="0"/>
          <w:bCs w:val="0"/>
          <w:color w:val="auto"/>
          <w:kern w:val="0"/>
          <w:sz w:val="32"/>
          <w:szCs w:val="32"/>
          <w:highlight w:val="none"/>
          <w:lang w:val="en-US" w:eastAsia="zh-CN"/>
        </w:rPr>
        <w:t>市直</w:t>
      </w:r>
      <w:r>
        <w:rPr>
          <w:rFonts w:hint="default" w:ascii="Times New Roman" w:hAnsi="Times New Roman" w:eastAsia="仿宋_GB2312" w:cs="Times New Roman"/>
          <w:color w:val="auto"/>
          <w:kern w:val="0"/>
          <w:sz w:val="32"/>
          <w:szCs w:val="32"/>
          <w:highlight w:val="none"/>
          <w:lang w:val="en-US" w:eastAsia="zh-CN"/>
        </w:rPr>
        <w:t>行政事业</w:t>
      </w:r>
      <w:r>
        <w:rPr>
          <w:rFonts w:hint="default" w:ascii="Times New Roman" w:hAnsi="Times New Roman" w:eastAsia="仿宋_GB2312" w:cs="Times New Roman"/>
          <w:color w:val="auto"/>
          <w:kern w:val="0"/>
          <w:sz w:val="32"/>
          <w:szCs w:val="32"/>
          <w:highlight w:val="none"/>
        </w:rPr>
        <w:t>单位</w:t>
      </w:r>
      <w:r>
        <w:rPr>
          <w:rFonts w:hint="default" w:ascii="Times New Roman" w:hAnsi="Times New Roman" w:eastAsia="仿宋_GB2312" w:cs="Times New Roman"/>
          <w:color w:val="auto"/>
          <w:kern w:val="0"/>
          <w:sz w:val="32"/>
          <w:szCs w:val="32"/>
          <w:highlight w:val="none"/>
          <w:lang w:eastAsia="zh-CN"/>
        </w:rPr>
        <w:t>应</w:t>
      </w:r>
      <w:r>
        <w:rPr>
          <w:rFonts w:hint="eastAsia" w:ascii="Times New Roman" w:hAnsi="Times New Roman" w:eastAsia="仿宋_GB2312" w:cs="Times New Roman"/>
          <w:color w:val="auto"/>
          <w:kern w:val="0"/>
          <w:sz w:val="32"/>
          <w:szCs w:val="32"/>
          <w:highlight w:val="none"/>
          <w:lang w:eastAsia="zh-CN"/>
        </w:rPr>
        <w:t>当</w:t>
      </w:r>
      <w:r>
        <w:rPr>
          <w:rFonts w:hint="default" w:ascii="Times New Roman" w:hAnsi="Times New Roman" w:eastAsia="仿宋_GB2312" w:cs="Times New Roman"/>
          <w:color w:val="auto"/>
          <w:kern w:val="0"/>
          <w:sz w:val="32"/>
          <w:szCs w:val="32"/>
          <w:highlight w:val="none"/>
        </w:rPr>
        <w:t>依据</w:t>
      </w:r>
      <w:r>
        <w:rPr>
          <w:rFonts w:hint="default" w:ascii="Times New Roman" w:hAnsi="Times New Roman" w:eastAsia="仿宋_GB2312" w:cs="Times New Roman"/>
          <w:color w:val="auto"/>
          <w:kern w:val="0"/>
          <w:sz w:val="32"/>
          <w:szCs w:val="32"/>
          <w:highlight w:val="none"/>
          <w:lang w:eastAsia="zh-CN"/>
        </w:rPr>
        <w:t>市财政</w:t>
      </w:r>
      <w:r>
        <w:rPr>
          <w:rFonts w:hint="default" w:ascii="Times New Roman" w:hAnsi="Times New Roman" w:eastAsia="仿宋_GB2312" w:cs="Times New Roman"/>
          <w:color w:val="auto"/>
          <w:kern w:val="0"/>
          <w:sz w:val="32"/>
          <w:szCs w:val="32"/>
          <w:highlight w:val="none"/>
          <w:lang w:val="en-US" w:eastAsia="zh-CN"/>
        </w:rPr>
        <w:t>局</w:t>
      </w:r>
      <w:r>
        <w:rPr>
          <w:rFonts w:hint="default" w:ascii="Times New Roman" w:hAnsi="Times New Roman" w:eastAsia="仿宋_GB2312" w:cs="Times New Roman"/>
          <w:color w:val="auto"/>
          <w:kern w:val="0"/>
          <w:sz w:val="32"/>
          <w:szCs w:val="32"/>
          <w:highlight w:val="none"/>
          <w:lang w:eastAsia="zh-CN"/>
        </w:rPr>
        <w:t>、市</w:t>
      </w:r>
      <w:r>
        <w:rPr>
          <w:rFonts w:hint="eastAsia" w:ascii="Times New Roman" w:hAnsi="Times New Roman" w:eastAsia="仿宋_GB2312" w:cs="Times New Roman"/>
          <w:color w:val="auto"/>
          <w:kern w:val="0"/>
          <w:sz w:val="32"/>
          <w:szCs w:val="32"/>
          <w:highlight w:val="none"/>
          <w:lang w:eastAsia="zh-CN"/>
        </w:rPr>
        <w:t>机关事务服务中心</w:t>
      </w:r>
      <w:r>
        <w:rPr>
          <w:rFonts w:hint="default" w:ascii="Times New Roman" w:hAnsi="Times New Roman" w:eastAsia="仿宋_GB2312" w:cs="Times New Roman"/>
          <w:color w:val="auto"/>
          <w:kern w:val="0"/>
          <w:sz w:val="32"/>
          <w:szCs w:val="32"/>
          <w:highlight w:val="none"/>
          <w:lang w:eastAsia="zh-CN"/>
        </w:rPr>
        <w:t>、主管部门</w:t>
      </w:r>
      <w:r>
        <w:rPr>
          <w:rFonts w:hint="default" w:ascii="Times New Roman" w:hAnsi="Times New Roman" w:eastAsia="仿宋_GB2312" w:cs="Times New Roman"/>
          <w:color w:val="auto"/>
          <w:kern w:val="0"/>
          <w:sz w:val="32"/>
          <w:szCs w:val="32"/>
          <w:highlight w:val="none"/>
          <w:lang w:val="en-US" w:eastAsia="zh-CN"/>
        </w:rPr>
        <w:t>的</w:t>
      </w:r>
      <w:r>
        <w:rPr>
          <w:rFonts w:hint="default" w:ascii="Times New Roman" w:hAnsi="Times New Roman" w:eastAsia="仿宋_GB2312" w:cs="Times New Roman"/>
          <w:color w:val="auto"/>
          <w:kern w:val="0"/>
          <w:sz w:val="32"/>
          <w:szCs w:val="32"/>
          <w:highlight w:val="none"/>
        </w:rPr>
        <w:t>批复文件处置资产，及时核销相关资产台账信息</w:t>
      </w:r>
      <w:r>
        <w:rPr>
          <w:rFonts w:hint="default" w:ascii="Times New Roman" w:hAnsi="Times New Roman" w:eastAsia="仿宋_GB2312" w:cs="Times New Roman"/>
          <w:color w:val="auto"/>
          <w:kern w:val="0"/>
          <w:sz w:val="32"/>
          <w:szCs w:val="32"/>
          <w:highlight w:val="none"/>
          <w:lang w:eastAsia="zh-CN"/>
        </w:rPr>
        <w:t>，按规定</w:t>
      </w:r>
      <w:r>
        <w:rPr>
          <w:rFonts w:hint="default" w:ascii="Times New Roman" w:hAnsi="Times New Roman" w:eastAsia="仿宋_GB2312" w:cs="Times New Roman"/>
          <w:color w:val="auto"/>
          <w:kern w:val="0"/>
          <w:sz w:val="32"/>
          <w:szCs w:val="32"/>
          <w:highlight w:val="none"/>
        </w:rPr>
        <w:t>进行会计处理，</w:t>
      </w:r>
      <w:r>
        <w:rPr>
          <w:rFonts w:hint="default" w:ascii="Times New Roman" w:hAnsi="Times New Roman" w:eastAsia="仿宋_GB2312" w:cs="Times New Roman"/>
          <w:color w:val="auto"/>
          <w:kern w:val="0"/>
          <w:sz w:val="32"/>
          <w:szCs w:val="32"/>
          <w:highlight w:val="none"/>
          <w:u w:val="none"/>
        </w:rPr>
        <w:t>办理产权变更</w:t>
      </w:r>
      <w:r>
        <w:rPr>
          <w:rFonts w:hint="default" w:ascii="Times New Roman" w:hAnsi="Times New Roman" w:eastAsia="仿宋_GB2312" w:cs="Times New Roman"/>
          <w:color w:val="auto"/>
          <w:kern w:val="0"/>
          <w:sz w:val="32"/>
          <w:szCs w:val="32"/>
          <w:highlight w:val="none"/>
          <w:u w:val="none"/>
          <w:lang w:eastAsia="zh-CN"/>
        </w:rPr>
        <w:t>及预算</w:t>
      </w:r>
      <w:r>
        <w:rPr>
          <w:rFonts w:hint="eastAsia" w:ascii="Times New Roman" w:hAnsi="Times New Roman" w:eastAsia="仿宋_GB2312" w:cs="Times New Roman"/>
          <w:color w:val="auto"/>
          <w:kern w:val="0"/>
          <w:sz w:val="32"/>
          <w:szCs w:val="32"/>
          <w:highlight w:val="none"/>
          <w:u w:val="none"/>
          <w:lang w:eastAsia="zh-CN"/>
        </w:rPr>
        <w:t>管理</w:t>
      </w:r>
      <w:r>
        <w:rPr>
          <w:rFonts w:hint="default" w:ascii="Times New Roman" w:hAnsi="Times New Roman" w:eastAsia="仿宋_GB2312" w:cs="Times New Roman"/>
          <w:color w:val="auto"/>
          <w:kern w:val="0"/>
          <w:sz w:val="32"/>
          <w:szCs w:val="32"/>
          <w:highlight w:val="none"/>
          <w:u w:val="none"/>
          <w:lang w:eastAsia="zh-CN"/>
        </w:rPr>
        <w:t>一体化资产管理</w:t>
      </w:r>
      <w:r>
        <w:rPr>
          <w:rFonts w:hint="default" w:ascii="Times New Roman" w:hAnsi="Times New Roman" w:eastAsia="仿宋_GB2312" w:cs="Times New Roman"/>
          <w:color w:val="auto"/>
          <w:kern w:val="0"/>
          <w:sz w:val="32"/>
          <w:szCs w:val="32"/>
          <w:highlight w:val="none"/>
          <w:u w:val="none"/>
        </w:rPr>
        <w:t>系统数据变更等事宜</w:t>
      </w:r>
      <w:r>
        <w:rPr>
          <w:rFonts w:hint="default" w:ascii="Times New Roman" w:hAnsi="Times New Roman" w:eastAsia="仿宋_GB2312" w:cs="Times New Roman"/>
          <w:color w:val="auto"/>
          <w:kern w:val="0"/>
          <w:sz w:val="32"/>
          <w:szCs w:val="32"/>
          <w:highlight w:val="none"/>
          <w:u w:val="none"/>
          <w:lang w:eastAsia="zh-CN"/>
        </w:rPr>
        <w:t>，并将资产</w:t>
      </w:r>
      <w:r>
        <w:rPr>
          <w:rFonts w:hint="default" w:ascii="Times New Roman" w:hAnsi="Times New Roman" w:eastAsia="仿宋_GB2312" w:cs="Times New Roman"/>
          <w:color w:val="auto"/>
          <w:kern w:val="0"/>
          <w:sz w:val="32"/>
          <w:szCs w:val="32"/>
          <w:highlight w:val="none"/>
          <w:u w:val="none"/>
        </w:rPr>
        <w:t>处置</w:t>
      </w:r>
      <w:r>
        <w:rPr>
          <w:rFonts w:hint="default" w:ascii="Times New Roman" w:hAnsi="Times New Roman" w:eastAsia="仿宋_GB2312" w:cs="Times New Roman"/>
          <w:color w:val="auto"/>
          <w:kern w:val="0"/>
          <w:sz w:val="32"/>
          <w:szCs w:val="32"/>
          <w:highlight w:val="none"/>
          <w:u w:val="none"/>
          <w:lang w:eastAsia="zh-CN"/>
        </w:rPr>
        <w:t>收入及时</w:t>
      </w:r>
      <w:r>
        <w:rPr>
          <w:rFonts w:hint="default" w:ascii="Times New Roman" w:hAnsi="Times New Roman" w:eastAsia="仿宋_GB2312" w:cs="Times New Roman"/>
          <w:color w:val="auto"/>
          <w:kern w:val="0"/>
          <w:sz w:val="32"/>
          <w:szCs w:val="32"/>
          <w:highlight w:val="none"/>
          <w:u w:val="none"/>
        </w:rPr>
        <w:t>足额上缴</w:t>
      </w:r>
      <w:r>
        <w:rPr>
          <w:rFonts w:hint="default" w:ascii="Times New Roman" w:hAnsi="Times New Roman" w:eastAsia="仿宋_GB2312" w:cs="Times New Roman"/>
          <w:color w:val="auto"/>
          <w:kern w:val="0"/>
          <w:sz w:val="32"/>
          <w:szCs w:val="32"/>
          <w:highlight w:val="none"/>
          <w:u w:val="none"/>
          <w:lang w:eastAsia="zh-CN"/>
        </w:rPr>
        <w:t>国库</w:t>
      </w:r>
      <w:r>
        <w:rPr>
          <w:rFonts w:hint="default" w:ascii="Times New Roman" w:hAnsi="Times New Roman" w:eastAsia="仿宋_GB2312" w:cs="Times New Roman"/>
          <w:color w:val="auto"/>
          <w:kern w:val="0"/>
          <w:sz w:val="32"/>
          <w:szCs w:val="32"/>
          <w:highlight w:val="none"/>
          <w:u w:val="none"/>
        </w:rPr>
        <w:t>。</w:t>
      </w:r>
      <w:r>
        <w:rPr>
          <w:rFonts w:hint="default" w:ascii="Times New Roman" w:hAnsi="Times New Roman" w:eastAsia="仿宋_GB2312" w:cs="Times New Roman"/>
          <w:color w:val="auto"/>
          <w:kern w:val="0"/>
          <w:sz w:val="32"/>
          <w:szCs w:val="32"/>
          <w:highlight w:val="none"/>
          <w:u w:val="none"/>
          <w:lang w:eastAsia="zh-CN"/>
        </w:rPr>
        <w:t>市直</w:t>
      </w:r>
      <w:r>
        <w:rPr>
          <w:rFonts w:hint="default" w:ascii="Times New Roman" w:hAnsi="Times New Roman" w:eastAsia="仿宋_GB2312" w:cs="Times New Roman"/>
          <w:color w:val="auto"/>
          <w:kern w:val="0"/>
          <w:sz w:val="32"/>
          <w:szCs w:val="32"/>
          <w:highlight w:val="none"/>
          <w:lang w:val="en-US" w:eastAsia="zh-CN"/>
        </w:rPr>
        <w:t>行政事业</w:t>
      </w:r>
      <w:r>
        <w:rPr>
          <w:rFonts w:hint="default" w:ascii="Times New Roman" w:hAnsi="Times New Roman" w:eastAsia="仿宋_GB2312" w:cs="Times New Roman"/>
          <w:color w:val="auto"/>
          <w:kern w:val="0"/>
          <w:sz w:val="32"/>
          <w:szCs w:val="32"/>
          <w:highlight w:val="none"/>
        </w:rPr>
        <w:t>单位</w:t>
      </w:r>
      <w:r>
        <w:rPr>
          <w:rFonts w:hint="default" w:ascii="Times New Roman" w:hAnsi="Times New Roman" w:eastAsia="仿宋_GB2312" w:cs="Times New Roman"/>
          <w:color w:val="auto"/>
          <w:kern w:val="0"/>
          <w:sz w:val="32"/>
          <w:szCs w:val="32"/>
          <w:highlight w:val="none"/>
          <w:lang w:eastAsia="zh-CN"/>
        </w:rPr>
        <w:t>资产处置相关工作，</w:t>
      </w:r>
      <w:r>
        <w:rPr>
          <w:rFonts w:hint="default" w:ascii="Times New Roman" w:hAnsi="Times New Roman" w:eastAsia="仿宋_GB2312" w:cs="Times New Roman"/>
          <w:color w:val="auto"/>
          <w:kern w:val="0"/>
          <w:sz w:val="32"/>
          <w:szCs w:val="32"/>
          <w:highlight w:val="none"/>
          <w:u w:val="none"/>
        </w:rPr>
        <w:t>原则上</w:t>
      </w:r>
      <w:r>
        <w:rPr>
          <w:rFonts w:hint="default" w:ascii="Times New Roman" w:hAnsi="Times New Roman" w:eastAsia="仿宋_GB2312" w:cs="Times New Roman"/>
          <w:color w:val="auto"/>
          <w:kern w:val="0"/>
          <w:sz w:val="32"/>
          <w:szCs w:val="32"/>
          <w:highlight w:val="none"/>
          <w:u w:val="none"/>
          <w:lang w:eastAsia="zh-CN"/>
        </w:rPr>
        <w:t>在收到资产处置</w:t>
      </w:r>
      <w:r>
        <w:rPr>
          <w:rFonts w:hint="default" w:ascii="Times New Roman" w:hAnsi="Times New Roman" w:eastAsia="仿宋_GB2312" w:cs="Times New Roman"/>
          <w:color w:val="auto"/>
          <w:kern w:val="0"/>
          <w:sz w:val="32"/>
          <w:szCs w:val="32"/>
          <w:highlight w:val="none"/>
        </w:rPr>
        <w:t>批复文件</w:t>
      </w:r>
      <w:r>
        <w:rPr>
          <w:rFonts w:hint="eastAsia" w:ascii="Times New Roman" w:hAnsi="Times New Roman" w:eastAsia="仿宋_GB2312" w:cs="Times New Roman"/>
          <w:color w:val="auto"/>
          <w:kern w:val="0"/>
          <w:sz w:val="32"/>
          <w:szCs w:val="32"/>
          <w:highlight w:val="none"/>
          <w:u w:val="none"/>
          <w:lang w:val="en-US" w:eastAsia="zh-CN"/>
        </w:rPr>
        <w:t>3</w:t>
      </w:r>
      <w:r>
        <w:rPr>
          <w:rFonts w:hint="default" w:ascii="Times New Roman" w:hAnsi="Times New Roman" w:eastAsia="仿宋_GB2312" w:cs="Times New Roman"/>
          <w:color w:val="auto"/>
          <w:kern w:val="0"/>
          <w:sz w:val="32"/>
          <w:szCs w:val="32"/>
          <w:highlight w:val="none"/>
          <w:u w:val="none"/>
        </w:rPr>
        <w:t>个月</w:t>
      </w:r>
      <w:r>
        <w:rPr>
          <w:rFonts w:hint="default" w:ascii="Times New Roman" w:hAnsi="Times New Roman" w:eastAsia="仿宋_GB2312" w:cs="Times New Roman"/>
          <w:color w:val="auto"/>
          <w:kern w:val="0"/>
          <w:sz w:val="32"/>
          <w:szCs w:val="32"/>
          <w:highlight w:val="none"/>
          <w:u w:val="none"/>
          <w:lang w:eastAsia="zh-CN"/>
        </w:rPr>
        <w:t>内完成</w:t>
      </w:r>
      <w:r>
        <w:rPr>
          <w:rFonts w:hint="default" w:ascii="Times New Roman" w:hAnsi="Times New Roman" w:eastAsia="仿宋_GB2312" w:cs="Times New Roman"/>
          <w:color w:val="auto"/>
          <w:kern w:val="0"/>
          <w:sz w:val="32"/>
          <w:szCs w:val="32"/>
          <w:highlight w:val="none"/>
          <w:u w:val="none"/>
        </w:rPr>
        <w:t>。</w:t>
      </w:r>
    </w:p>
    <w:p w14:paraId="15069FF8">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i w:val="0"/>
          <w:caps w:val="0"/>
          <w:color w:val="auto"/>
          <w:spacing w:val="0"/>
          <w:kern w:val="0"/>
          <w:sz w:val="32"/>
          <w:szCs w:val="32"/>
          <w:highlight w:val="none"/>
          <w:shd w:val="clear" w:color="auto" w:fill="FFFFFF"/>
        </w:rPr>
        <w:t>已批复的资产处置事项需对处置方式、评估价值等内容进行调整的，应</w:t>
      </w:r>
      <w:r>
        <w:rPr>
          <w:rFonts w:hint="eastAsia" w:ascii="Times New Roman" w:hAnsi="Times New Roman" w:eastAsia="仿宋_GB2312" w:cs="Times New Roman"/>
          <w:i w:val="0"/>
          <w:caps w:val="0"/>
          <w:color w:val="auto"/>
          <w:spacing w:val="0"/>
          <w:kern w:val="0"/>
          <w:sz w:val="32"/>
          <w:szCs w:val="32"/>
          <w:highlight w:val="none"/>
          <w:shd w:val="clear" w:color="auto" w:fill="FFFFFF"/>
          <w:lang w:eastAsia="zh-CN"/>
        </w:rPr>
        <w:t>当</w:t>
      </w:r>
      <w:r>
        <w:rPr>
          <w:rFonts w:hint="default" w:ascii="Times New Roman" w:hAnsi="Times New Roman" w:eastAsia="仿宋_GB2312" w:cs="Times New Roman"/>
          <w:i w:val="0"/>
          <w:caps w:val="0"/>
          <w:color w:val="auto"/>
          <w:spacing w:val="0"/>
          <w:kern w:val="0"/>
          <w:sz w:val="32"/>
          <w:szCs w:val="32"/>
          <w:highlight w:val="none"/>
          <w:shd w:val="clear" w:color="auto" w:fill="FFFFFF"/>
        </w:rPr>
        <w:t>报原审批部门批准。已批复的资产处置事项因故终止或未能在有效期限内完成的，应</w:t>
      </w:r>
      <w:r>
        <w:rPr>
          <w:rFonts w:hint="eastAsia" w:ascii="Times New Roman" w:hAnsi="Times New Roman" w:eastAsia="仿宋_GB2312" w:cs="Times New Roman"/>
          <w:i w:val="0"/>
          <w:caps w:val="0"/>
          <w:color w:val="auto"/>
          <w:spacing w:val="0"/>
          <w:kern w:val="0"/>
          <w:sz w:val="32"/>
          <w:szCs w:val="32"/>
          <w:highlight w:val="none"/>
          <w:shd w:val="clear" w:color="auto" w:fill="FFFFFF"/>
          <w:lang w:eastAsia="zh-CN"/>
        </w:rPr>
        <w:t>当</w:t>
      </w:r>
      <w:r>
        <w:rPr>
          <w:rFonts w:hint="default" w:ascii="Times New Roman" w:hAnsi="Times New Roman" w:eastAsia="仿宋_GB2312" w:cs="Times New Roman"/>
          <w:i w:val="0"/>
          <w:caps w:val="0"/>
          <w:color w:val="auto"/>
          <w:spacing w:val="0"/>
          <w:kern w:val="0"/>
          <w:sz w:val="32"/>
          <w:szCs w:val="32"/>
          <w:highlight w:val="none"/>
          <w:shd w:val="clear" w:color="auto" w:fill="FFFFFF"/>
        </w:rPr>
        <w:t>说明理由，报原审批部门备案。</w:t>
      </w:r>
    </w:p>
    <w:p w14:paraId="0F8103FE">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kern w:val="0"/>
          <w:sz w:val="32"/>
          <w:szCs w:val="32"/>
          <w:highlight w:val="none"/>
          <w:lang w:val="en-US" w:eastAsia="zh-CN"/>
        </w:rPr>
        <w:t>市直行政事业</w:t>
      </w:r>
      <w:r>
        <w:rPr>
          <w:rFonts w:hint="default" w:ascii="Times New Roman" w:hAnsi="Times New Roman" w:eastAsia="仿宋_GB2312" w:cs="Times New Roman"/>
          <w:color w:val="auto"/>
          <w:kern w:val="0"/>
          <w:sz w:val="32"/>
          <w:szCs w:val="32"/>
          <w:highlight w:val="none"/>
        </w:rPr>
        <w:t>单位国有资产处置情况应当在行政事业性国有资产管理情况年度报告中予以反映。</w:t>
      </w:r>
    </w:p>
    <w:p w14:paraId="48F0468B">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kern w:val="0"/>
          <w:sz w:val="32"/>
          <w:szCs w:val="32"/>
          <w:highlight w:val="none"/>
          <w:lang w:eastAsia="zh-CN"/>
        </w:rPr>
        <w:t>第五十二条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b w:val="0"/>
          <w:bCs w:val="0"/>
          <w:color w:val="auto"/>
          <w:kern w:val="0"/>
          <w:sz w:val="32"/>
          <w:szCs w:val="32"/>
          <w:highlight w:val="none"/>
          <w:lang w:val="en-US" w:eastAsia="zh-CN"/>
        </w:rPr>
        <w:t>市直</w:t>
      </w:r>
      <w:r>
        <w:rPr>
          <w:rFonts w:hint="default" w:ascii="Times New Roman" w:hAnsi="Times New Roman" w:eastAsia="仿宋_GB2312" w:cs="Times New Roman"/>
          <w:color w:val="auto"/>
          <w:kern w:val="0"/>
          <w:sz w:val="32"/>
          <w:szCs w:val="32"/>
          <w:highlight w:val="none"/>
        </w:rPr>
        <w:t>行政事业单位通过无偿划转和置换取得的资产，应当符合资产配置标准，与单位工作职责和人员编制情况相符。</w:t>
      </w:r>
      <w:r>
        <w:rPr>
          <w:rFonts w:hint="default" w:ascii="Times New Roman" w:hAnsi="Times New Roman" w:eastAsia="仿宋_GB2312" w:cs="Times New Roman"/>
          <w:color w:val="auto"/>
          <w:kern w:val="0"/>
          <w:sz w:val="32"/>
          <w:szCs w:val="32"/>
          <w:highlight w:val="none"/>
          <w:lang w:eastAsia="zh-CN"/>
        </w:rPr>
        <w:t>其中</w:t>
      </w:r>
      <w:r>
        <w:rPr>
          <w:rFonts w:hint="default" w:ascii="Times New Roman" w:hAnsi="Times New Roman" w:eastAsia="仿宋_GB2312" w:cs="Times New Roman"/>
          <w:color w:val="auto"/>
          <w:kern w:val="0"/>
          <w:sz w:val="32"/>
          <w:szCs w:val="32"/>
          <w:highlight w:val="none"/>
        </w:rPr>
        <w:t>通过无偿划转和置换取得办公用房的，应当执行新建办公用房各项标准，不得以未使用财政预算建设资金、资产整合等名义规避审批。</w:t>
      </w:r>
    </w:p>
    <w:p w14:paraId="1EA10AF4">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b/>
          <w:bCs/>
          <w:i w:val="0"/>
          <w:caps w:val="0"/>
          <w:color w:val="auto"/>
          <w:spacing w:val="0"/>
          <w:kern w:val="0"/>
          <w:sz w:val="32"/>
          <w:szCs w:val="32"/>
          <w:highlight w:val="none"/>
          <w:u w:val="none"/>
          <w:shd w:val="clear" w:color="auto" w:fill="FFFFFF"/>
        </w:rPr>
        <w:t>第</w:t>
      </w:r>
      <w:r>
        <w:rPr>
          <w:rFonts w:hint="default" w:ascii="Times New Roman" w:hAnsi="Times New Roman" w:eastAsia="仿宋_GB2312" w:cs="Times New Roman"/>
          <w:b/>
          <w:bCs/>
          <w:i w:val="0"/>
          <w:caps w:val="0"/>
          <w:color w:val="auto"/>
          <w:spacing w:val="0"/>
          <w:kern w:val="0"/>
          <w:sz w:val="32"/>
          <w:szCs w:val="32"/>
          <w:highlight w:val="none"/>
          <w:u w:val="none"/>
          <w:shd w:val="clear" w:color="auto" w:fill="FFFFFF"/>
          <w:lang w:eastAsia="zh-CN"/>
        </w:rPr>
        <w:t>五</w:t>
      </w:r>
      <w:r>
        <w:rPr>
          <w:rFonts w:hint="default" w:ascii="Times New Roman" w:hAnsi="Times New Roman" w:eastAsia="仿宋_GB2312" w:cs="Times New Roman"/>
          <w:b/>
          <w:bCs/>
          <w:color w:val="auto"/>
          <w:kern w:val="0"/>
          <w:sz w:val="32"/>
          <w:szCs w:val="32"/>
          <w:highlight w:val="none"/>
          <w:u w:val="none"/>
          <w:lang w:eastAsia="zh-CN"/>
        </w:rPr>
        <w:t>十三</w:t>
      </w:r>
      <w:r>
        <w:rPr>
          <w:rFonts w:hint="default" w:ascii="Times New Roman" w:hAnsi="Times New Roman" w:eastAsia="仿宋_GB2312" w:cs="Times New Roman"/>
          <w:b/>
          <w:bCs/>
          <w:i w:val="0"/>
          <w:caps w:val="0"/>
          <w:color w:val="auto"/>
          <w:spacing w:val="0"/>
          <w:kern w:val="0"/>
          <w:sz w:val="32"/>
          <w:szCs w:val="32"/>
          <w:highlight w:val="none"/>
          <w:u w:val="none"/>
          <w:shd w:val="clear" w:color="auto" w:fill="FFFFFF"/>
        </w:rPr>
        <w:t>条</w:t>
      </w:r>
      <w:r>
        <w:rPr>
          <w:rFonts w:hint="default" w:ascii="Times New Roman" w:hAnsi="Times New Roman" w:eastAsia="仿宋_GB2312" w:cs="Times New Roman"/>
          <w:b/>
          <w:bCs/>
          <w:i w:val="0"/>
          <w:caps w:val="0"/>
          <w:color w:val="auto"/>
          <w:spacing w:val="0"/>
          <w:kern w:val="0"/>
          <w:sz w:val="32"/>
          <w:szCs w:val="32"/>
          <w:highlight w:val="none"/>
          <w:u w:val="none"/>
          <w:shd w:val="clear" w:color="auto" w:fill="FFFFFF"/>
          <w:lang w:val="en-US" w:eastAsia="zh-CN"/>
        </w:rPr>
        <w:t xml:space="preserve"> </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rPr>
        <w:t>因未履行审批程序等原因形成的</w:t>
      </w:r>
      <w:r>
        <w:rPr>
          <w:rFonts w:hint="default" w:ascii="Times New Roman" w:hAnsi="Times New Roman" w:eastAsia="仿宋_GB2312" w:cs="Times New Roman"/>
          <w:b w:val="0"/>
          <w:bCs w:val="0"/>
          <w:i w:val="0"/>
          <w:caps w:val="0"/>
          <w:color w:val="auto"/>
          <w:spacing w:val="0"/>
          <w:kern w:val="0"/>
          <w:sz w:val="32"/>
          <w:szCs w:val="32"/>
          <w:highlight w:val="none"/>
          <w:u w:val="none"/>
          <w:shd w:val="clear" w:color="auto" w:fill="FFFFFF"/>
        </w:rPr>
        <w:t>长期积压待处置资产</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rPr>
        <w:t>，</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lang w:eastAsia="zh-CN"/>
        </w:rPr>
        <w:t>市直</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rPr>
        <w:t>行政事业单位应当建立健全由资产管理、资产使用、财务管理、内部监督等部门共同参与的工作机制，及时查明原因，逐项履行集体决策程序，由单位党组（委）明确问题的性质、责任、处理意见等，按照规定权限予以处置。</w:t>
      </w:r>
    </w:p>
    <w:p w14:paraId="7B370479">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u w:val="none"/>
          <w:lang w:eastAsia="zh-CN"/>
        </w:rPr>
      </w:pPr>
      <w:r>
        <w:rPr>
          <w:rFonts w:hint="default" w:ascii="Times New Roman" w:hAnsi="Times New Roman" w:eastAsia="仿宋_GB2312" w:cs="Times New Roman"/>
          <w:b/>
          <w:bCs/>
          <w:color w:val="auto"/>
          <w:kern w:val="0"/>
          <w:sz w:val="32"/>
          <w:szCs w:val="32"/>
          <w:highlight w:val="none"/>
          <w:u w:val="none"/>
          <w:lang w:eastAsia="zh-CN"/>
        </w:rPr>
        <w:t>第五十四条</w:t>
      </w:r>
      <w:r>
        <w:rPr>
          <w:rFonts w:hint="default" w:ascii="Times New Roman" w:hAnsi="Times New Roman" w:eastAsia="仿宋_GB2312" w:cs="Times New Roman"/>
          <w:b/>
          <w:bCs/>
          <w:color w:val="auto"/>
          <w:kern w:val="0"/>
          <w:sz w:val="32"/>
          <w:szCs w:val="32"/>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lang w:eastAsia="zh-CN"/>
        </w:rPr>
        <w:t>除国家另有规定外，市直行政事业单位转让、置换资产的，应当依法进行资产评估。</w:t>
      </w:r>
    </w:p>
    <w:p w14:paraId="5C53D29A">
      <w:pPr>
        <w:pStyle w:val="2"/>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textAlignment w:val="auto"/>
        <w:outlineLvl w:val="9"/>
        <w:rPr>
          <w:rFonts w:hint="default"/>
          <w:lang w:val="en-US" w:eastAsia="zh-CN"/>
        </w:rPr>
      </w:pPr>
    </w:p>
    <w:p w14:paraId="6444A679">
      <w:pPr>
        <w:keepNext w:val="0"/>
        <w:keepLines w:val="0"/>
        <w:pageBreakBefore w:val="0"/>
        <w:widowControl w:val="0"/>
        <w:numPr>
          <w:ilvl w:val="0"/>
          <w:numId w:val="4"/>
        </w:numPr>
        <w:suppressLineNumbers w:val="0"/>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eastAsia" w:ascii="仿宋_GB2312" w:hAnsi="仿宋_GB2312" w:eastAsia="仿宋_GB2312" w:cs="仿宋_GB2312"/>
          <w:b/>
          <w:bCs/>
          <w:color w:val="auto"/>
          <w:kern w:val="0"/>
          <w:sz w:val="32"/>
          <w:szCs w:val="32"/>
          <w:highlight w:val="none"/>
          <w:lang w:val="en-US" w:eastAsia="zh-CN"/>
        </w:rPr>
      </w:pPr>
      <w:r>
        <w:rPr>
          <w:rFonts w:hint="eastAsia" w:ascii="仿宋_GB2312" w:hAnsi="仿宋_GB2312" w:eastAsia="仿宋_GB2312" w:cs="仿宋_GB2312"/>
          <w:b/>
          <w:bCs/>
          <w:color w:val="auto"/>
          <w:kern w:val="0"/>
          <w:sz w:val="32"/>
          <w:szCs w:val="32"/>
          <w:highlight w:val="none"/>
          <w:lang w:val="en-US" w:eastAsia="zh-CN"/>
        </w:rPr>
        <w:t>无偿划转和对外捐赠</w:t>
      </w:r>
    </w:p>
    <w:p w14:paraId="4F093AC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shd w:val="clear" w:color="auto" w:fill="FFFFFF"/>
        </w:rPr>
      </w:pPr>
      <w:r>
        <w:rPr>
          <w:rFonts w:hint="default" w:ascii="Times New Roman" w:hAnsi="Times New Roman" w:eastAsia="仿宋_GB2312" w:cs="Times New Roman"/>
          <w:b/>
          <w:bCs/>
          <w:color w:val="auto"/>
          <w:kern w:val="0"/>
          <w:sz w:val="32"/>
          <w:szCs w:val="32"/>
          <w:highlight w:val="none"/>
          <w:lang w:val="en-US" w:eastAsia="zh-CN"/>
        </w:rPr>
        <w:t xml:space="preserve">第五十五条 </w:t>
      </w:r>
      <w:r>
        <w:rPr>
          <w:rFonts w:hint="default" w:ascii="Times New Roman" w:hAnsi="Times New Roman" w:eastAsia="仿宋_GB2312" w:cs="Times New Roman"/>
          <w:color w:val="auto"/>
          <w:kern w:val="0"/>
          <w:sz w:val="32"/>
          <w:szCs w:val="32"/>
          <w:highlight w:val="none"/>
          <w:lang w:val="en-US" w:eastAsia="zh-CN"/>
        </w:rPr>
        <w:t>无偿划转是指在不改变国有资产性质的前提下，以无偿转让的方式变更国有资产占有、使用权的行为。 市直</w:t>
      </w:r>
      <w:r>
        <w:rPr>
          <w:rFonts w:hint="default" w:ascii="Times New Roman" w:hAnsi="Times New Roman" w:eastAsia="仿宋_GB2312" w:cs="Times New Roman"/>
          <w:color w:val="auto"/>
          <w:kern w:val="0"/>
          <w:sz w:val="32"/>
          <w:szCs w:val="32"/>
          <w:highlight w:val="none"/>
        </w:rPr>
        <w:t>行政事业单位长期低效运转、闲置、超标准配置等可无偿划转的资产，</w:t>
      </w:r>
      <w:r>
        <w:rPr>
          <w:rFonts w:hint="default" w:ascii="Times New Roman" w:hAnsi="Times New Roman" w:eastAsia="仿宋_GB2312" w:cs="Times New Roman"/>
          <w:color w:val="auto"/>
          <w:kern w:val="0"/>
          <w:sz w:val="32"/>
          <w:szCs w:val="32"/>
          <w:highlight w:val="none"/>
          <w:shd w:val="clear" w:color="auto" w:fill="FFFFFF"/>
        </w:rPr>
        <w:t>原则上应</w:t>
      </w:r>
      <w:r>
        <w:rPr>
          <w:rFonts w:hint="eastAsia" w:ascii="Times New Roman" w:hAnsi="Times New Roman" w:eastAsia="仿宋_GB2312" w:cs="Times New Roman"/>
          <w:color w:val="auto"/>
          <w:kern w:val="0"/>
          <w:sz w:val="32"/>
          <w:szCs w:val="32"/>
          <w:highlight w:val="none"/>
          <w:shd w:val="clear" w:color="auto" w:fill="FFFFFF"/>
          <w:lang w:eastAsia="zh-CN"/>
        </w:rPr>
        <w:t>当</w:t>
      </w:r>
      <w:r>
        <w:rPr>
          <w:rFonts w:hint="default" w:ascii="Times New Roman" w:hAnsi="Times New Roman" w:eastAsia="仿宋_GB2312" w:cs="Times New Roman"/>
          <w:color w:val="auto"/>
          <w:kern w:val="0"/>
          <w:sz w:val="32"/>
          <w:szCs w:val="32"/>
          <w:highlight w:val="none"/>
          <w:shd w:val="clear" w:color="auto" w:fill="FFFFFF"/>
        </w:rPr>
        <w:t>通过</w:t>
      </w:r>
      <w:r>
        <w:rPr>
          <w:rFonts w:hint="default" w:ascii="Times New Roman" w:hAnsi="Times New Roman" w:eastAsia="仿宋_GB2312" w:cs="Times New Roman"/>
          <w:color w:val="auto"/>
          <w:kern w:val="0"/>
          <w:sz w:val="32"/>
          <w:szCs w:val="32"/>
          <w:highlight w:val="none"/>
          <w:shd w:val="clear" w:color="auto" w:fill="FFFFFF"/>
          <w:lang w:eastAsia="zh-CN"/>
        </w:rPr>
        <w:t>市级</w:t>
      </w:r>
      <w:r>
        <w:rPr>
          <w:rFonts w:hint="default" w:ascii="Times New Roman" w:hAnsi="Times New Roman" w:eastAsia="仿宋_GB2312" w:cs="Times New Roman"/>
          <w:color w:val="auto"/>
          <w:kern w:val="0"/>
          <w:sz w:val="32"/>
          <w:szCs w:val="32"/>
          <w:highlight w:val="none"/>
          <w:shd w:val="clear" w:color="auto" w:fill="FFFFFF"/>
        </w:rPr>
        <w:t>行政事业单位国有资产调剂共享平台（以下简称调剂共享平台）实行调剂共享。无偿划转国有资产应当由划出方按照以下程序办理：</w:t>
      </w:r>
    </w:p>
    <w:p w14:paraId="08DA152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shd w:val="clear" w:color="auto" w:fill="FFFFFF"/>
        </w:rPr>
        <w:t>（一）</w:t>
      </w:r>
      <w:r>
        <w:rPr>
          <w:rFonts w:hint="default" w:ascii="Times New Roman" w:hAnsi="Times New Roman" w:eastAsia="仿宋_GB2312" w:cs="Times New Roman"/>
          <w:color w:val="auto"/>
          <w:kern w:val="0"/>
          <w:sz w:val="32"/>
          <w:szCs w:val="32"/>
          <w:highlight w:val="none"/>
          <w:shd w:val="clear" w:color="auto" w:fill="FFFFFF"/>
          <w:lang w:eastAsia="zh-CN"/>
        </w:rPr>
        <w:t>市直</w:t>
      </w:r>
      <w:r>
        <w:rPr>
          <w:rFonts w:hint="default" w:ascii="Times New Roman" w:hAnsi="Times New Roman" w:eastAsia="仿宋_GB2312" w:cs="Times New Roman"/>
          <w:color w:val="auto"/>
          <w:kern w:val="0"/>
          <w:sz w:val="32"/>
          <w:szCs w:val="32"/>
          <w:highlight w:val="none"/>
          <w:shd w:val="clear" w:color="auto" w:fill="FFFFFF"/>
        </w:rPr>
        <w:t>行政事业单位之间跨部门无偿划转国有</w:t>
      </w:r>
      <w:r>
        <w:rPr>
          <w:rFonts w:hint="default" w:ascii="Times New Roman" w:hAnsi="Times New Roman" w:eastAsia="仿宋_GB2312" w:cs="Times New Roman"/>
          <w:color w:val="auto"/>
          <w:kern w:val="0"/>
          <w:sz w:val="32"/>
          <w:szCs w:val="32"/>
          <w:highlight w:val="none"/>
        </w:rPr>
        <w:t>资产，以及</w:t>
      </w:r>
      <w:r>
        <w:rPr>
          <w:rFonts w:hint="default" w:ascii="Times New Roman" w:hAnsi="Times New Roman" w:eastAsia="仿宋_GB2312" w:cs="Times New Roman"/>
          <w:color w:val="auto"/>
          <w:kern w:val="0"/>
          <w:sz w:val="32"/>
          <w:szCs w:val="32"/>
          <w:highlight w:val="none"/>
          <w:lang w:eastAsia="zh-CN"/>
        </w:rPr>
        <w:t>市直行政</w:t>
      </w:r>
      <w:r>
        <w:rPr>
          <w:rFonts w:hint="default" w:ascii="Times New Roman" w:hAnsi="Times New Roman" w:eastAsia="仿宋_GB2312" w:cs="Times New Roman"/>
          <w:color w:val="auto"/>
          <w:kern w:val="0"/>
          <w:sz w:val="32"/>
          <w:szCs w:val="32"/>
          <w:highlight w:val="none"/>
        </w:rPr>
        <w:t>事业单位对国有全资企业无偿划转国有资产，由划出方按照本办法</w:t>
      </w:r>
      <w:r>
        <w:rPr>
          <w:rFonts w:hint="default" w:ascii="Times New Roman" w:hAnsi="Times New Roman" w:eastAsia="仿宋_GB2312" w:cs="Times New Roman"/>
          <w:color w:val="auto"/>
          <w:kern w:val="0"/>
          <w:sz w:val="32"/>
          <w:szCs w:val="32"/>
          <w:highlight w:val="none"/>
          <w:lang w:eastAsia="zh-CN"/>
        </w:rPr>
        <w:t>第四十</w:t>
      </w:r>
      <w:r>
        <w:rPr>
          <w:rFonts w:hint="eastAsia" w:ascii="Times New Roman" w:hAnsi="Times New Roman" w:eastAsia="仿宋_GB2312" w:cs="Times New Roman"/>
          <w:color w:val="auto"/>
          <w:kern w:val="0"/>
          <w:sz w:val="32"/>
          <w:szCs w:val="32"/>
          <w:highlight w:val="none"/>
          <w:lang w:eastAsia="zh-CN"/>
        </w:rPr>
        <w:t>五</w:t>
      </w:r>
      <w:r>
        <w:rPr>
          <w:rFonts w:hint="default" w:ascii="Times New Roman" w:hAnsi="Times New Roman" w:eastAsia="仿宋_GB2312" w:cs="Times New Roman"/>
          <w:color w:val="auto"/>
          <w:kern w:val="0"/>
          <w:sz w:val="32"/>
          <w:szCs w:val="32"/>
          <w:highlight w:val="none"/>
          <w:lang w:eastAsia="zh-CN"/>
        </w:rPr>
        <w:t>条</w:t>
      </w:r>
      <w:r>
        <w:rPr>
          <w:rFonts w:hint="default" w:ascii="Times New Roman" w:hAnsi="Times New Roman" w:eastAsia="仿宋_GB2312" w:cs="Times New Roman"/>
          <w:color w:val="auto"/>
          <w:kern w:val="0"/>
          <w:sz w:val="32"/>
          <w:szCs w:val="32"/>
          <w:highlight w:val="none"/>
        </w:rPr>
        <w:t>规定的相应权限履行审批手续。</w:t>
      </w:r>
    </w:p>
    <w:p w14:paraId="2BB8A719">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（二）跨级次、跨地区无偿划转国有资产，由</w:t>
      </w:r>
      <w:r>
        <w:rPr>
          <w:rFonts w:hint="default" w:ascii="Times New Roman" w:hAnsi="Times New Roman" w:eastAsia="仿宋_GB2312" w:cs="Times New Roman"/>
          <w:color w:val="auto"/>
          <w:kern w:val="0"/>
          <w:sz w:val="32"/>
          <w:szCs w:val="32"/>
          <w:highlight w:val="none"/>
          <w:lang w:eastAsia="zh-CN"/>
        </w:rPr>
        <w:t>市直</w:t>
      </w:r>
      <w:r>
        <w:rPr>
          <w:rFonts w:hint="default" w:ascii="Times New Roman" w:hAnsi="Times New Roman" w:eastAsia="仿宋_GB2312" w:cs="Times New Roman"/>
          <w:color w:val="auto"/>
          <w:kern w:val="0"/>
          <w:sz w:val="32"/>
          <w:szCs w:val="32"/>
          <w:highlight w:val="none"/>
        </w:rPr>
        <w:t>无偿划转给</w:t>
      </w:r>
      <w:r>
        <w:rPr>
          <w:rFonts w:hint="default" w:ascii="Times New Roman" w:hAnsi="Times New Roman" w:eastAsia="仿宋_GB2312" w:cs="Times New Roman"/>
          <w:color w:val="auto"/>
          <w:kern w:val="0"/>
          <w:sz w:val="32"/>
          <w:szCs w:val="32"/>
          <w:highlight w:val="none"/>
          <w:lang w:eastAsia="zh-CN"/>
        </w:rPr>
        <w:t>县（市、区）</w:t>
      </w:r>
      <w:r>
        <w:rPr>
          <w:rFonts w:hint="default" w:ascii="Times New Roman" w:hAnsi="Times New Roman" w:eastAsia="仿宋_GB2312" w:cs="Times New Roman"/>
          <w:color w:val="auto"/>
          <w:kern w:val="0"/>
          <w:sz w:val="32"/>
          <w:szCs w:val="32"/>
          <w:highlight w:val="none"/>
        </w:rPr>
        <w:t>的，应当附接收方主管部门和同级财政部门同意接收的相关文件，由</w:t>
      </w:r>
      <w:r>
        <w:rPr>
          <w:rFonts w:hint="default" w:ascii="Times New Roman" w:hAnsi="Times New Roman" w:eastAsia="仿宋_GB2312" w:cs="Times New Roman"/>
          <w:color w:val="auto"/>
          <w:kern w:val="0"/>
          <w:sz w:val="32"/>
          <w:szCs w:val="32"/>
          <w:highlight w:val="none"/>
          <w:lang w:eastAsia="zh-CN"/>
        </w:rPr>
        <w:t>市直</w:t>
      </w:r>
      <w:r>
        <w:rPr>
          <w:rFonts w:hint="default" w:ascii="Times New Roman" w:hAnsi="Times New Roman" w:eastAsia="仿宋_GB2312" w:cs="Times New Roman"/>
          <w:color w:val="auto"/>
          <w:kern w:val="0"/>
          <w:sz w:val="32"/>
          <w:szCs w:val="32"/>
          <w:highlight w:val="none"/>
        </w:rPr>
        <w:t>行政事业单位按本办法规定的相应权限履行审批手续；由</w:t>
      </w:r>
      <w:r>
        <w:rPr>
          <w:rFonts w:hint="default" w:ascii="Times New Roman" w:hAnsi="Times New Roman" w:eastAsia="仿宋_GB2312" w:cs="Times New Roman"/>
          <w:color w:val="auto"/>
          <w:kern w:val="0"/>
          <w:sz w:val="32"/>
          <w:szCs w:val="32"/>
          <w:highlight w:val="none"/>
          <w:lang w:eastAsia="zh-CN"/>
        </w:rPr>
        <w:t>市直</w:t>
      </w:r>
      <w:r>
        <w:rPr>
          <w:rFonts w:hint="default" w:ascii="Times New Roman" w:hAnsi="Times New Roman" w:eastAsia="仿宋_GB2312" w:cs="Times New Roman"/>
          <w:color w:val="auto"/>
          <w:kern w:val="0"/>
          <w:sz w:val="32"/>
          <w:szCs w:val="32"/>
          <w:highlight w:val="none"/>
        </w:rPr>
        <w:t>无偿划转给省级的，由划出方按照同级财政部门规定的处置权限履行审批手续。</w:t>
      </w:r>
    </w:p>
    <w:p w14:paraId="11C94CBA">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kern w:val="0"/>
          <w:sz w:val="32"/>
          <w:szCs w:val="32"/>
          <w:highlight w:val="none"/>
          <w:lang w:val="en-US" w:eastAsia="zh-CN"/>
        </w:rPr>
        <w:t xml:space="preserve">第五十六条 </w:t>
      </w:r>
      <w:r>
        <w:rPr>
          <w:rFonts w:hint="default" w:ascii="Times New Roman" w:hAnsi="Times New Roman" w:eastAsia="仿宋_GB2312" w:cs="Times New Roman"/>
          <w:b w:val="0"/>
          <w:bCs w:val="0"/>
          <w:color w:val="auto"/>
          <w:kern w:val="0"/>
          <w:sz w:val="32"/>
          <w:szCs w:val="32"/>
          <w:highlight w:val="none"/>
          <w:lang w:val="en-US" w:eastAsia="zh-CN" w:bidi="ar"/>
        </w:rPr>
        <w:t>市直行</w:t>
      </w:r>
      <w:r>
        <w:rPr>
          <w:rFonts w:hint="default" w:ascii="Times New Roman" w:hAnsi="Times New Roman" w:eastAsia="仿宋_GB2312" w:cs="Times New Roman"/>
          <w:color w:val="auto"/>
          <w:kern w:val="0"/>
          <w:sz w:val="32"/>
          <w:szCs w:val="32"/>
          <w:highlight w:val="none"/>
          <w:lang w:val="en-US" w:eastAsia="zh-CN" w:bidi="ar"/>
        </w:rPr>
        <w:t xml:space="preserve">政事业单位申请无偿划转国有资产，应当由划出方提交以下材料： </w:t>
      </w:r>
    </w:p>
    <w:p w14:paraId="231983A4">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lang w:val="en-US" w:eastAsia="zh-CN" w:bidi="ar"/>
        </w:rPr>
        <w:t>（一）资产无偿划转申请文件及单位内部决策文件，国有资产价值凭证及产权证明（</w:t>
      </w:r>
      <w:r>
        <w:rPr>
          <w:rFonts w:hint="default" w:ascii="Times New Roman" w:hAnsi="Times New Roman" w:eastAsia="仿宋_GB2312" w:cs="Times New Roman"/>
          <w:color w:val="auto"/>
          <w:kern w:val="0"/>
          <w:sz w:val="32"/>
          <w:szCs w:val="32"/>
          <w:highlight w:val="none"/>
        </w:rPr>
        <w:t>如购货发票或者收据、记账凭证、资产信息卡、竣工决算报告、国有土地使用权证、房屋所有权证、不动产权证、专利证、著作权证、担保（抵押）凭证、债权或者股权凭证、投资协议等凭据的复印件</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下同</w:t>
      </w:r>
      <w:r>
        <w:rPr>
          <w:rFonts w:hint="default" w:ascii="Times New Roman" w:hAnsi="Times New Roman" w:eastAsia="仿宋_GB2312" w:cs="Times New Roman"/>
          <w:color w:val="auto"/>
          <w:kern w:val="0"/>
          <w:sz w:val="32"/>
          <w:szCs w:val="32"/>
          <w:highlight w:val="none"/>
          <w:lang w:val="en-US" w:eastAsia="zh-CN" w:bidi="ar"/>
        </w:rPr>
        <w:t>）；</w:t>
      </w:r>
    </w:p>
    <w:p w14:paraId="75D1F568">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lang w:val="en-US" w:eastAsia="zh-CN" w:bidi="ar"/>
        </w:rPr>
        <w:t>（二）</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lang w:val="en-US" w:eastAsia="zh-CN"/>
        </w:rPr>
        <w:t>咸宁市市直</w:t>
      </w:r>
      <w:r>
        <w:rPr>
          <w:rFonts w:hint="default" w:ascii="Times New Roman" w:hAnsi="Times New Roman" w:eastAsia="仿宋_GB2312" w:cs="Times New Roman"/>
          <w:color w:val="auto"/>
          <w:kern w:val="0"/>
          <w:sz w:val="32"/>
          <w:szCs w:val="32"/>
          <w:highlight w:val="none"/>
        </w:rPr>
        <w:t>行政事业单位国有</w:t>
      </w:r>
      <w:r>
        <w:rPr>
          <w:rFonts w:hint="default" w:ascii="Times New Roman" w:hAnsi="Times New Roman" w:eastAsia="仿宋_GB2312" w:cs="Times New Roman"/>
          <w:color w:val="auto"/>
          <w:kern w:val="0"/>
          <w:sz w:val="32"/>
          <w:szCs w:val="32"/>
          <w:highlight w:val="none"/>
          <w:lang w:eastAsia="zh-CN"/>
        </w:rPr>
        <w:t>资产</w:t>
      </w:r>
      <w:r>
        <w:rPr>
          <w:rFonts w:hint="default" w:ascii="Times New Roman" w:hAnsi="Times New Roman" w:eastAsia="仿宋_GB2312" w:cs="Times New Roman"/>
          <w:color w:val="auto"/>
          <w:kern w:val="0"/>
          <w:sz w:val="32"/>
          <w:szCs w:val="32"/>
          <w:highlight w:val="none"/>
          <w:lang w:val="en-US" w:eastAsia="zh-CN"/>
        </w:rPr>
        <w:t>无偿划转和对外捐赠</w:t>
      </w:r>
      <w:r>
        <w:rPr>
          <w:rFonts w:hint="default" w:ascii="Times New Roman" w:hAnsi="Times New Roman" w:eastAsia="仿宋_GB2312" w:cs="Times New Roman"/>
          <w:color w:val="auto"/>
          <w:kern w:val="0"/>
          <w:sz w:val="32"/>
          <w:szCs w:val="32"/>
          <w:highlight w:val="none"/>
        </w:rPr>
        <w:t>申请表》</w:t>
      </w:r>
      <w:r>
        <w:rPr>
          <w:rFonts w:hint="default" w:ascii="Times New Roman" w:hAnsi="Times New Roman" w:eastAsia="仿宋_GB2312" w:cs="Times New Roman"/>
          <w:color w:val="auto"/>
          <w:kern w:val="0"/>
          <w:sz w:val="32"/>
          <w:szCs w:val="32"/>
          <w:highlight w:val="none"/>
          <w:lang w:val="en-US" w:eastAsia="zh-CN" w:bidi="ar"/>
        </w:rPr>
        <w:t xml:space="preserve">； </w:t>
      </w:r>
    </w:p>
    <w:p w14:paraId="76B26795">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lang w:val="en-US" w:eastAsia="zh-CN" w:bidi="ar"/>
        </w:rPr>
        <w:t>（三）划出方和划入方签署的意向性协议或者</w:t>
      </w:r>
      <w:r>
        <w:rPr>
          <w:rFonts w:hint="default" w:ascii="Times New Roman" w:hAnsi="Times New Roman" w:eastAsia="仿宋_GB2312" w:cs="Times New Roman"/>
          <w:color w:val="auto"/>
          <w:kern w:val="0"/>
          <w:sz w:val="32"/>
          <w:szCs w:val="32"/>
          <w:highlight w:val="none"/>
          <w:u w:val="none"/>
          <w:lang w:val="en-US" w:eastAsia="zh-CN" w:bidi="ar"/>
        </w:rPr>
        <w:t>划入单位关于相关资产需求说明；</w:t>
      </w:r>
      <w:r>
        <w:rPr>
          <w:rFonts w:hint="default" w:ascii="Times New Roman" w:hAnsi="Times New Roman" w:eastAsia="仿宋_GB2312" w:cs="Times New Roman"/>
          <w:color w:val="auto"/>
          <w:kern w:val="0"/>
          <w:sz w:val="32"/>
          <w:szCs w:val="32"/>
          <w:highlight w:val="none"/>
          <w:lang w:val="en-US" w:eastAsia="zh-CN" w:bidi="ar"/>
        </w:rPr>
        <w:t xml:space="preserve"> </w:t>
      </w:r>
    </w:p>
    <w:p w14:paraId="5EE6DA26">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lang w:val="en-US" w:eastAsia="zh-CN" w:bidi="ar"/>
        </w:rPr>
        <w:t>（四）因单位</w:t>
      </w:r>
      <w:r>
        <w:rPr>
          <w:rFonts w:hint="default" w:ascii="Times New Roman" w:hAnsi="Times New Roman" w:eastAsia="仿宋_GB2312" w:cs="Times New Roman"/>
          <w:b w:val="0"/>
          <w:bCs w:val="0"/>
          <w:color w:val="auto"/>
          <w:sz w:val="32"/>
          <w:szCs w:val="32"/>
          <w:highlight w:val="none"/>
          <w:lang w:eastAsia="zh-CN"/>
        </w:rPr>
        <w:t>分立、合并、改制、撤销、隶属关系改变</w:t>
      </w:r>
      <w:r>
        <w:rPr>
          <w:rFonts w:hint="default" w:ascii="Times New Roman" w:hAnsi="Times New Roman" w:eastAsia="仿宋_GB2312" w:cs="Times New Roman"/>
          <w:color w:val="auto"/>
          <w:kern w:val="0"/>
          <w:sz w:val="32"/>
          <w:szCs w:val="32"/>
          <w:highlight w:val="none"/>
          <w:lang w:val="en-US" w:eastAsia="zh-CN" w:bidi="ar"/>
        </w:rPr>
        <w:t xml:space="preserve">等原因发生国有资产无偿划转的，应当提供编制、人事等主管部门的相关批复文件以及由具备相应资质的中介机构出具的资产清查报告等材料（因单位部分职能、业务调整的原因发生国有资产无偿划转的，不需要提供资产清查报告）； </w:t>
      </w:r>
    </w:p>
    <w:p w14:paraId="44A22591">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bidi="ar"/>
        </w:rPr>
        <w:t>（五）其他相关材料。</w:t>
      </w:r>
    </w:p>
    <w:p w14:paraId="47CBDDD9">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US" w:eastAsia="zh-CN" w:bidi="ar"/>
        </w:rPr>
        <w:t xml:space="preserve">第五十七条 </w:t>
      </w:r>
      <w:r>
        <w:rPr>
          <w:rFonts w:hint="default" w:ascii="Times New Roman" w:hAnsi="Times New Roman" w:eastAsia="仿宋_GB2312" w:cs="Times New Roman"/>
          <w:color w:val="auto"/>
          <w:kern w:val="0"/>
          <w:sz w:val="32"/>
          <w:szCs w:val="32"/>
          <w:highlight w:val="none"/>
          <w:lang w:val="en-US" w:eastAsia="zh-CN" w:bidi="ar"/>
        </w:rPr>
        <w:t>对外捐赠是指市直</w:t>
      </w:r>
      <w:r>
        <w:rPr>
          <w:rFonts w:hint="default" w:ascii="Times New Roman" w:hAnsi="Times New Roman" w:eastAsia="仿宋_GB2312" w:cs="Times New Roman"/>
          <w:color w:val="auto"/>
          <w:kern w:val="0"/>
          <w:sz w:val="32"/>
          <w:szCs w:val="32"/>
          <w:highlight w:val="none"/>
          <w:u w:val="none"/>
          <w:lang w:val="en-US" w:eastAsia="zh-CN" w:bidi="ar"/>
        </w:rPr>
        <w:t>行政事业</w:t>
      </w:r>
      <w:r>
        <w:rPr>
          <w:rFonts w:hint="default" w:ascii="Times New Roman" w:hAnsi="Times New Roman" w:eastAsia="仿宋_GB2312" w:cs="Times New Roman"/>
          <w:color w:val="auto"/>
          <w:kern w:val="0"/>
          <w:sz w:val="32"/>
          <w:szCs w:val="32"/>
          <w:highlight w:val="none"/>
          <w:lang w:val="en-US" w:eastAsia="zh-CN" w:bidi="ar"/>
        </w:rPr>
        <w:t>单位依照《中华人民共和国公益事业捐赠法》，自愿无偿将其占有、使用的国有资产赠与合法受赠人的行为。</w:t>
      </w:r>
    </w:p>
    <w:p w14:paraId="4B81C4F9">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市直行政事业单位对外捐赠应当利用本单位闲置资产或者淘汰且具有使用价值的资产，不得新购资产用于对外捐赠。同一部门上下级单位之间和部门所属单位之间，不得相互捐赠资产</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bidi="ar"/>
        </w:rPr>
        <w:t>对外捐赠资产原则上应</w:t>
      </w:r>
      <w:r>
        <w:rPr>
          <w:rFonts w:hint="eastAsia" w:ascii="Times New Roman" w:hAnsi="Times New Roman" w:eastAsia="仿宋_GB2312" w:cs="Times New Roman"/>
          <w:color w:val="auto"/>
          <w:kern w:val="0"/>
          <w:sz w:val="32"/>
          <w:szCs w:val="32"/>
          <w:highlight w:val="none"/>
          <w:lang w:val="en-US" w:eastAsia="zh-CN" w:bidi="ar"/>
        </w:rPr>
        <w:t>当</w:t>
      </w:r>
      <w:r>
        <w:rPr>
          <w:rFonts w:hint="default" w:ascii="Times New Roman" w:hAnsi="Times New Roman" w:eastAsia="仿宋_GB2312" w:cs="Times New Roman"/>
          <w:color w:val="auto"/>
          <w:kern w:val="0"/>
          <w:sz w:val="32"/>
          <w:szCs w:val="32"/>
          <w:highlight w:val="none"/>
          <w:lang w:val="en-US" w:eastAsia="zh-CN" w:bidi="ar"/>
        </w:rPr>
        <w:t>用于支援公益事业及扶贫、赈灾等用途。</w:t>
      </w:r>
    </w:p>
    <w:p w14:paraId="3DC45B73">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US" w:eastAsia="zh-CN" w:bidi="ar"/>
        </w:rPr>
        <w:t xml:space="preserve">第五十八条 </w:t>
      </w:r>
      <w:r>
        <w:rPr>
          <w:rFonts w:hint="default" w:ascii="Times New Roman" w:hAnsi="Times New Roman" w:eastAsia="仿宋_GB2312" w:cs="Times New Roman"/>
          <w:b w:val="0"/>
          <w:bCs w:val="0"/>
          <w:color w:val="auto"/>
          <w:kern w:val="0"/>
          <w:sz w:val="32"/>
          <w:szCs w:val="32"/>
          <w:highlight w:val="none"/>
          <w:lang w:val="en-US" w:eastAsia="zh-CN" w:bidi="ar"/>
        </w:rPr>
        <w:t>市直行</w:t>
      </w:r>
      <w:r>
        <w:rPr>
          <w:rFonts w:hint="default" w:ascii="Times New Roman" w:hAnsi="Times New Roman" w:eastAsia="仿宋_GB2312" w:cs="Times New Roman"/>
          <w:color w:val="auto"/>
          <w:kern w:val="0"/>
          <w:sz w:val="32"/>
          <w:szCs w:val="32"/>
          <w:highlight w:val="none"/>
          <w:lang w:val="en-US" w:eastAsia="zh-CN" w:bidi="ar"/>
        </w:rPr>
        <w:t>政事业单位申请对外捐赠资产，应</w:t>
      </w:r>
      <w:r>
        <w:rPr>
          <w:rFonts w:hint="eastAsia" w:ascii="Times New Roman" w:hAnsi="Times New Roman" w:eastAsia="仿宋_GB2312" w:cs="Times New Roman"/>
          <w:color w:val="auto"/>
          <w:kern w:val="0"/>
          <w:sz w:val="32"/>
          <w:szCs w:val="32"/>
          <w:highlight w:val="none"/>
          <w:lang w:val="en-US" w:eastAsia="zh-CN" w:bidi="ar"/>
        </w:rPr>
        <w:t>当</w:t>
      </w:r>
      <w:r>
        <w:rPr>
          <w:rFonts w:hint="default" w:ascii="Times New Roman" w:hAnsi="Times New Roman" w:eastAsia="仿宋_GB2312" w:cs="Times New Roman"/>
          <w:color w:val="auto"/>
          <w:kern w:val="0"/>
          <w:sz w:val="32"/>
          <w:szCs w:val="32"/>
          <w:highlight w:val="none"/>
          <w:lang w:val="en-US" w:eastAsia="zh-CN" w:bidi="ar"/>
        </w:rPr>
        <w:t>提交以下材料：</w:t>
      </w:r>
    </w:p>
    <w:p w14:paraId="2D342F9E">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（一）资产对外捐赠申请文件及单位内部决策文件、</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lang w:val="en-US" w:eastAsia="zh-CN"/>
        </w:rPr>
        <w:t>咸宁市市直</w:t>
      </w:r>
      <w:r>
        <w:rPr>
          <w:rFonts w:hint="default" w:ascii="Times New Roman" w:hAnsi="Times New Roman" w:eastAsia="仿宋_GB2312" w:cs="Times New Roman"/>
          <w:color w:val="auto"/>
          <w:kern w:val="0"/>
          <w:sz w:val="32"/>
          <w:szCs w:val="32"/>
          <w:highlight w:val="none"/>
        </w:rPr>
        <w:t>行政事业单位国有</w:t>
      </w:r>
      <w:r>
        <w:rPr>
          <w:rFonts w:hint="default" w:ascii="Times New Roman" w:hAnsi="Times New Roman" w:eastAsia="仿宋_GB2312" w:cs="Times New Roman"/>
          <w:color w:val="auto"/>
          <w:kern w:val="0"/>
          <w:sz w:val="32"/>
          <w:szCs w:val="32"/>
          <w:highlight w:val="none"/>
          <w:lang w:eastAsia="zh-CN"/>
        </w:rPr>
        <w:t>资产</w:t>
      </w:r>
      <w:r>
        <w:rPr>
          <w:rFonts w:hint="default" w:ascii="Times New Roman" w:hAnsi="Times New Roman" w:eastAsia="仿宋_GB2312" w:cs="Times New Roman"/>
          <w:color w:val="auto"/>
          <w:kern w:val="0"/>
          <w:sz w:val="32"/>
          <w:szCs w:val="32"/>
          <w:highlight w:val="none"/>
          <w:lang w:val="en-US" w:eastAsia="zh-CN"/>
        </w:rPr>
        <w:t>无偿划转和对外捐赠</w:t>
      </w:r>
      <w:r>
        <w:rPr>
          <w:rFonts w:hint="default" w:ascii="Times New Roman" w:hAnsi="Times New Roman" w:eastAsia="仿宋_GB2312" w:cs="Times New Roman"/>
          <w:color w:val="auto"/>
          <w:kern w:val="0"/>
          <w:sz w:val="32"/>
          <w:szCs w:val="32"/>
          <w:highlight w:val="none"/>
        </w:rPr>
        <w:t>申请表》</w:t>
      </w:r>
      <w:r>
        <w:rPr>
          <w:rFonts w:hint="default" w:ascii="Times New Roman" w:hAnsi="Times New Roman" w:eastAsia="仿宋_GB2312" w:cs="Times New Roman"/>
          <w:color w:val="auto"/>
          <w:kern w:val="0"/>
          <w:sz w:val="32"/>
          <w:szCs w:val="32"/>
          <w:highlight w:val="none"/>
          <w:lang w:val="en-US" w:eastAsia="zh-CN" w:bidi="ar"/>
        </w:rPr>
        <w:t>；</w:t>
      </w:r>
    </w:p>
    <w:p w14:paraId="536DC0AF">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（二）对外捐赠报告，包括对外捐赠事由、方式、责任人、国有资产构成及其数额、对外捐赠事项对本单位财务状况和业务活动影响的分析等；</w:t>
      </w:r>
    </w:p>
    <w:p w14:paraId="3F96D7C3">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（三）其他相关材料。</w:t>
      </w:r>
    </w:p>
    <w:p w14:paraId="53112A5B">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p>
    <w:p w14:paraId="7EDA8C8A">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eastAsia" w:ascii="仿宋_GB2312" w:hAnsi="仿宋_GB2312" w:eastAsia="仿宋_GB2312" w:cs="仿宋_GB2312"/>
          <w:b/>
          <w:bCs/>
          <w:color w:val="auto"/>
          <w:kern w:val="0"/>
          <w:sz w:val="32"/>
          <w:szCs w:val="32"/>
          <w:highlight w:val="none"/>
          <w:lang w:eastAsia="zh-CN"/>
        </w:rPr>
      </w:pPr>
      <w:r>
        <w:rPr>
          <w:rFonts w:hint="eastAsia" w:ascii="仿宋_GB2312" w:hAnsi="仿宋_GB2312" w:eastAsia="仿宋_GB2312" w:cs="仿宋_GB2312"/>
          <w:b/>
          <w:bCs/>
          <w:color w:val="auto"/>
          <w:kern w:val="0"/>
          <w:sz w:val="32"/>
          <w:szCs w:val="32"/>
          <w:highlight w:val="none"/>
        </w:rPr>
        <w:t>第</w:t>
      </w:r>
      <w:r>
        <w:rPr>
          <w:rFonts w:hint="eastAsia" w:ascii="仿宋_GB2312" w:hAnsi="仿宋_GB2312" w:eastAsia="仿宋_GB2312" w:cs="仿宋_GB2312"/>
          <w:b/>
          <w:bCs/>
          <w:color w:val="auto"/>
          <w:kern w:val="0"/>
          <w:sz w:val="32"/>
          <w:szCs w:val="32"/>
          <w:highlight w:val="none"/>
          <w:lang w:eastAsia="zh-CN"/>
        </w:rPr>
        <w:t>三</w:t>
      </w:r>
      <w:r>
        <w:rPr>
          <w:rFonts w:hint="eastAsia" w:ascii="仿宋_GB2312" w:hAnsi="仿宋_GB2312" w:eastAsia="仿宋_GB2312" w:cs="仿宋_GB2312"/>
          <w:b/>
          <w:bCs/>
          <w:color w:val="auto"/>
          <w:kern w:val="0"/>
          <w:sz w:val="32"/>
          <w:szCs w:val="32"/>
          <w:highlight w:val="none"/>
          <w:lang w:val="en-US" w:eastAsia="zh-CN"/>
        </w:rPr>
        <w:t>节</w:t>
      </w:r>
      <w:r>
        <w:rPr>
          <w:rFonts w:hint="eastAsia" w:ascii="仿宋_GB2312" w:hAnsi="仿宋_GB2312" w:eastAsia="仿宋_GB2312" w:cs="仿宋_GB2312"/>
          <w:b/>
          <w:bCs/>
          <w:color w:val="auto"/>
          <w:kern w:val="0"/>
          <w:sz w:val="32"/>
          <w:szCs w:val="32"/>
          <w:highlight w:val="none"/>
        </w:rPr>
        <w:t>　转让和置换</w:t>
      </w:r>
    </w:p>
    <w:p w14:paraId="62587BB7">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rPr>
        <w:t>第</w:t>
      </w:r>
      <w:r>
        <w:rPr>
          <w:rFonts w:hint="default" w:ascii="Times New Roman" w:hAnsi="Times New Roman" w:eastAsia="仿宋_GB2312" w:cs="Times New Roman"/>
          <w:b/>
          <w:bCs/>
          <w:color w:val="auto"/>
          <w:kern w:val="0"/>
          <w:sz w:val="32"/>
          <w:szCs w:val="32"/>
          <w:highlight w:val="none"/>
          <w:lang w:eastAsia="zh-CN"/>
        </w:rPr>
        <w:t>五十九</w:t>
      </w:r>
      <w:r>
        <w:rPr>
          <w:rFonts w:hint="default" w:ascii="Times New Roman" w:hAnsi="Times New Roman" w:eastAsia="仿宋_GB2312" w:cs="Times New Roman"/>
          <w:b/>
          <w:bCs/>
          <w:color w:val="auto"/>
          <w:kern w:val="0"/>
          <w:sz w:val="32"/>
          <w:szCs w:val="32"/>
          <w:highlight w:val="none"/>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lang w:val="en-US" w:eastAsia="zh-CN" w:bidi="ar"/>
        </w:rPr>
        <w:t>转让是指市直行政事业单位以出售、出让等方式变更国有资产占有、使用权并取得收益的行为。</w:t>
      </w:r>
    </w:p>
    <w:p w14:paraId="03ED4B29">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lang w:val="en-US" w:eastAsia="zh-CN"/>
        </w:rPr>
        <w:t>市直</w:t>
      </w:r>
      <w:r>
        <w:rPr>
          <w:rFonts w:hint="default" w:ascii="Times New Roman" w:hAnsi="Times New Roman" w:eastAsia="仿宋_GB2312" w:cs="Times New Roman"/>
          <w:color w:val="auto"/>
          <w:kern w:val="0"/>
          <w:sz w:val="32"/>
          <w:szCs w:val="32"/>
          <w:highlight w:val="none"/>
        </w:rPr>
        <w:t>行政事业单位转让国有资产，应当以公开竞争方式进行，严格控制非公开协议方式，可以通过相应公共资源交易平台</w:t>
      </w:r>
      <w:r>
        <w:rPr>
          <w:rFonts w:hint="default" w:ascii="Times New Roman" w:hAnsi="Times New Roman" w:eastAsia="仿宋_GB2312" w:cs="Times New Roman"/>
          <w:color w:val="auto"/>
          <w:kern w:val="0"/>
          <w:sz w:val="32"/>
          <w:szCs w:val="32"/>
          <w:highlight w:val="none"/>
          <w:lang w:eastAsia="zh-CN"/>
        </w:rPr>
        <w:t>、产权交易机构</w:t>
      </w:r>
      <w:r>
        <w:rPr>
          <w:rFonts w:hint="default" w:ascii="Times New Roman" w:hAnsi="Times New Roman" w:eastAsia="仿宋_GB2312" w:cs="Times New Roman"/>
          <w:color w:val="auto"/>
          <w:kern w:val="0"/>
          <w:sz w:val="32"/>
          <w:szCs w:val="32"/>
          <w:highlight w:val="none"/>
        </w:rPr>
        <w:t>，采取拍卖、公开招标等方式进行处置。</w:t>
      </w:r>
    </w:p>
    <w:p w14:paraId="45AD8DFF">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确实</w:t>
      </w:r>
      <w:r>
        <w:rPr>
          <w:rFonts w:hint="default" w:ascii="Times New Roman" w:hAnsi="Times New Roman" w:eastAsia="仿宋_GB2312" w:cs="Times New Roman"/>
          <w:color w:val="auto"/>
          <w:kern w:val="0"/>
          <w:sz w:val="32"/>
          <w:szCs w:val="32"/>
          <w:highlight w:val="none"/>
        </w:rPr>
        <w:t>不适合拍卖、公开招标或经公开征集只有一个意向受让方的，经原审批部门批准，</w:t>
      </w:r>
      <w:r>
        <w:rPr>
          <w:rFonts w:hint="default" w:ascii="Times New Roman" w:hAnsi="Times New Roman" w:eastAsia="仿宋_GB2312" w:cs="Times New Roman"/>
          <w:color w:val="auto"/>
          <w:kern w:val="0"/>
          <w:sz w:val="32"/>
          <w:szCs w:val="32"/>
          <w:highlight w:val="none"/>
          <w:lang w:val="en-US" w:eastAsia="zh-CN"/>
        </w:rPr>
        <w:t>可以采取协议转让或者法律、法规、规章规定的其他方式进行。</w:t>
      </w:r>
    </w:p>
    <w:p w14:paraId="0DA5B61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kern w:val="0"/>
          <w:sz w:val="32"/>
          <w:szCs w:val="32"/>
          <w:highlight w:val="none"/>
        </w:rPr>
        <w:t>第</w:t>
      </w:r>
      <w:r>
        <w:rPr>
          <w:rFonts w:hint="default" w:ascii="Times New Roman" w:hAnsi="Times New Roman" w:eastAsia="仿宋_GB2312" w:cs="Times New Roman"/>
          <w:b/>
          <w:bCs/>
          <w:color w:val="auto"/>
          <w:kern w:val="0"/>
          <w:sz w:val="32"/>
          <w:szCs w:val="32"/>
          <w:highlight w:val="none"/>
          <w:lang w:eastAsia="zh-CN"/>
        </w:rPr>
        <w:t>六十</w:t>
      </w:r>
      <w:r>
        <w:rPr>
          <w:rFonts w:hint="default" w:ascii="Times New Roman" w:hAnsi="Times New Roman" w:eastAsia="仿宋_GB2312" w:cs="Times New Roman"/>
          <w:b/>
          <w:bCs/>
          <w:color w:val="auto"/>
          <w:kern w:val="0"/>
          <w:sz w:val="32"/>
          <w:szCs w:val="32"/>
          <w:highlight w:val="none"/>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rPr>
        <w:t>置换是指市直行政事业单位与其他单位以固定资产、无形资产等为主进行的资产交换，一般不涉及货币性资产或者只涉及用于补价的少量货币性资产。</w:t>
      </w:r>
    </w:p>
    <w:p w14:paraId="084B2393">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rPr>
        <w:t>涉及房屋、土地征收的资产，在确保单位工作正常开展的前提下，可以采取货币性补偿、资产置换等方式进行。征收补偿应当达到规定的补偿标准。</w:t>
      </w:r>
    </w:p>
    <w:p w14:paraId="13426D03">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kern w:val="0"/>
          <w:sz w:val="32"/>
          <w:szCs w:val="32"/>
          <w:highlight w:val="none"/>
        </w:rPr>
        <w:t>第</w:t>
      </w:r>
      <w:r>
        <w:rPr>
          <w:rFonts w:hint="default" w:ascii="Times New Roman" w:hAnsi="Times New Roman" w:eastAsia="仿宋_GB2312" w:cs="Times New Roman"/>
          <w:b/>
          <w:bCs/>
          <w:color w:val="auto"/>
          <w:kern w:val="0"/>
          <w:sz w:val="32"/>
          <w:szCs w:val="32"/>
          <w:highlight w:val="none"/>
          <w:lang w:eastAsia="zh-CN"/>
        </w:rPr>
        <w:t>六十一</w:t>
      </w:r>
      <w:r>
        <w:rPr>
          <w:rFonts w:hint="default" w:ascii="Times New Roman" w:hAnsi="Times New Roman" w:eastAsia="仿宋_GB2312" w:cs="Times New Roman"/>
          <w:b/>
          <w:bCs/>
          <w:color w:val="auto"/>
          <w:kern w:val="0"/>
          <w:sz w:val="32"/>
          <w:szCs w:val="32"/>
          <w:highlight w:val="none"/>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rPr>
        <w:t>资产</w:t>
      </w:r>
      <w:r>
        <w:rPr>
          <w:rFonts w:hint="default" w:ascii="Times New Roman" w:hAnsi="Times New Roman" w:eastAsia="仿宋_GB2312" w:cs="Times New Roman"/>
          <w:color w:val="auto"/>
          <w:kern w:val="0"/>
          <w:sz w:val="32"/>
          <w:szCs w:val="32"/>
          <w:highlight w:val="none"/>
          <w:u w:val="none"/>
        </w:rPr>
        <w:t>转让</w:t>
      </w:r>
      <w:r>
        <w:rPr>
          <w:rFonts w:hint="default" w:ascii="Times New Roman" w:hAnsi="Times New Roman" w:eastAsia="仿宋_GB2312" w:cs="Times New Roman"/>
          <w:color w:val="auto"/>
          <w:kern w:val="0"/>
          <w:sz w:val="32"/>
          <w:szCs w:val="32"/>
          <w:highlight w:val="none"/>
        </w:rPr>
        <w:t>或置换，</w:t>
      </w:r>
      <w:r>
        <w:rPr>
          <w:rFonts w:hint="default" w:ascii="Times New Roman" w:hAnsi="Times New Roman" w:eastAsia="仿宋_GB2312" w:cs="Times New Roman"/>
          <w:i w:val="0"/>
          <w:caps w:val="0"/>
          <w:color w:val="auto"/>
          <w:spacing w:val="0"/>
          <w:kern w:val="0"/>
          <w:sz w:val="32"/>
          <w:szCs w:val="32"/>
          <w:highlight w:val="none"/>
          <w:shd w:val="clear" w:color="auto" w:fill="auto"/>
        </w:rPr>
        <w:t>除国家另有规定外，</w:t>
      </w:r>
      <w:r>
        <w:rPr>
          <w:rFonts w:hint="default" w:ascii="Times New Roman" w:hAnsi="Times New Roman" w:eastAsia="仿宋_GB2312" w:cs="Times New Roman"/>
          <w:color w:val="auto"/>
          <w:kern w:val="0"/>
          <w:sz w:val="32"/>
          <w:szCs w:val="32"/>
          <w:highlight w:val="none"/>
          <w:lang w:eastAsia="zh-CN"/>
        </w:rPr>
        <w:t>应</w:t>
      </w:r>
      <w:r>
        <w:rPr>
          <w:rFonts w:hint="eastAsia" w:ascii="Times New Roman" w:hAnsi="Times New Roman" w:eastAsia="仿宋_GB2312" w:cs="Times New Roman"/>
          <w:color w:val="auto"/>
          <w:kern w:val="0"/>
          <w:sz w:val="32"/>
          <w:szCs w:val="32"/>
          <w:highlight w:val="none"/>
          <w:lang w:eastAsia="zh-CN"/>
        </w:rPr>
        <w:t>当</w:t>
      </w:r>
      <w:r>
        <w:rPr>
          <w:rFonts w:hint="default" w:ascii="Times New Roman" w:hAnsi="Times New Roman" w:eastAsia="仿宋_GB2312" w:cs="Times New Roman"/>
          <w:color w:val="auto"/>
          <w:kern w:val="0"/>
          <w:sz w:val="32"/>
          <w:szCs w:val="32"/>
          <w:highlight w:val="none"/>
        </w:rPr>
        <w:t>经具备相应资质的中介机构进行评估。</w:t>
      </w:r>
      <w:r>
        <w:rPr>
          <w:rFonts w:hint="default" w:ascii="Times New Roman" w:hAnsi="Times New Roman" w:eastAsia="仿宋_GB2312" w:cs="Times New Roman"/>
          <w:color w:val="auto"/>
          <w:kern w:val="0"/>
          <w:sz w:val="32"/>
          <w:szCs w:val="32"/>
          <w:highlight w:val="none"/>
          <w:lang w:eastAsia="zh-CN"/>
        </w:rPr>
        <w:t>转让国有资产，应</w:t>
      </w:r>
      <w:r>
        <w:rPr>
          <w:rFonts w:hint="eastAsia" w:ascii="Times New Roman" w:hAnsi="Times New Roman" w:eastAsia="仿宋_GB2312" w:cs="Times New Roman"/>
          <w:color w:val="auto"/>
          <w:kern w:val="0"/>
          <w:sz w:val="32"/>
          <w:szCs w:val="32"/>
          <w:highlight w:val="none"/>
          <w:lang w:eastAsia="zh-CN"/>
        </w:rPr>
        <w:t>当</w:t>
      </w:r>
      <w:r>
        <w:rPr>
          <w:rFonts w:hint="default" w:ascii="Times New Roman" w:hAnsi="Times New Roman" w:eastAsia="仿宋_GB2312" w:cs="Times New Roman"/>
          <w:color w:val="auto"/>
          <w:kern w:val="0"/>
          <w:sz w:val="32"/>
          <w:szCs w:val="32"/>
          <w:highlight w:val="none"/>
          <w:lang w:eastAsia="zh-CN"/>
        </w:rPr>
        <w:t>以</w:t>
      </w:r>
      <w:r>
        <w:rPr>
          <w:rFonts w:hint="default" w:ascii="Times New Roman" w:hAnsi="Times New Roman" w:eastAsia="仿宋_GB2312" w:cs="Times New Roman"/>
          <w:color w:val="auto"/>
          <w:kern w:val="0"/>
          <w:sz w:val="32"/>
          <w:szCs w:val="32"/>
          <w:highlight w:val="none"/>
        </w:rPr>
        <w:t>评估价值作为确定底价的参考依据，意向交易价格低于评估结果90%的，应当报</w:t>
      </w:r>
      <w:r>
        <w:rPr>
          <w:rFonts w:hint="default" w:ascii="Times New Roman" w:hAnsi="Times New Roman" w:eastAsia="仿宋_GB2312" w:cs="Times New Roman"/>
          <w:color w:val="auto"/>
          <w:kern w:val="0"/>
          <w:sz w:val="32"/>
          <w:szCs w:val="32"/>
          <w:highlight w:val="none"/>
          <w:lang w:eastAsia="zh-CN"/>
        </w:rPr>
        <w:t>原审批部门</w:t>
      </w:r>
      <w:r>
        <w:rPr>
          <w:rFonts w:hint="default" w:ascii="Times New Roman" w:hAnsi="Times New Roman" w:eastAsia="仿宋_GB2312" w:cs="Times New Roman"/>
          <w:color w:val="auto"/>
          <w:kern w:val="0"/>
          <w:sz w:val="32"/>
          <w:szCs w:val="32"/>
          <w:highlight w:val="none"/>
        </w:rPr>
        <w:t>重新确认后交易。</w:t>
      </w:r>
      <w:r>
        <w:rPr>
          <w:rFonts w:hint="default" w:ascii="Times New Roman" w:hAnsi="Times New Roman" w:eastAsia="仿宋_GB2312" w:cs="Times New Roman"/>
          <w:i w:val="0"/>
          <w:caps w:val="0"/>
          <w:color w:val="auto"/>
          <w:spacing w:val="0"/>
          <w:kern w:val="0"/>
          <w:sz w:val="32"/>
          <w:szCs w:val="32"/>
          <w:highlight w:val="none"/>
          <w:shd w:val="clear" w:color="auto" w:fill="auto"/>
        </w:rPr>
        <w:t>置换</w:t>
      </w:r>
      <w:r>
        <w:rPr>
          <w:rFonts w:hint="default" w:ascii="Times New Roman" w:hAnsi="Times New Roman" w:eastAsia="仿宋_GB2312" w:cs="Times New Roman"/>
          <w:i w:val="0"/>
          <w:caps w:val="0"/>
          <w:color w:val="auto"/>
          <w:spacing w:val="0"/>
          <w:kern w:val="0"/>
          <w:sz w:val="32"/>
          <w:szCs w:val="32"/>
          <w:highlight w:val="none"/>
          <w:shd w:val="clear" w:color="auto" w:fill="auto"/>
          <w:lang w:eastAsia="zh-CN"/>
        </w:rPr>
        <w:t>国有</w:t>
      </w:r>
      <w:r>
        <w:rPr>
          <w:rFonts w:hint="default" w:ascii="Times New Roman" w:hAnsi="Times New Roman" w:eastAsia="仿宋_GB2312" w:cs="Times New Roman"/>
          <w:i w:val="0"/>
          <w:caps w:val="0"/>
          <w:color w:val="auto"/>
          <w:spacing w:val="0"/>
          <w:kern w:val="0"/>
          <w:sz w:val="32"/>
          <w:szCs w:val="32"/>
          <w:highlight w:val="none"/>
          <w:shd w:val="clear" w:color="auto" w:fill="auto"/>
        </w:rPr>
        <w:t>资产</w:t>
      </w:r>
      <w:r>
        <w:rPr>
          <w:rFonts w:hint="default" w:ascii="Times New Roman" w:hAnsi="Times New Roman" w:eastAsia="仿宋_GB2312" w:cs="Times New Roman"/>
          <w:i w:val="0"/>
          <w:caps w:val="0"/>
          <w:color w:val="auto"/>
          <w:spacing w:val="0"/>
          <w:kern w:val="0"/>
          <w:sz w:val="32"/>
          <w:szCs w:val="32"/>
          <w:highlight w:val="none"/>
          <w:shd w:val="clear" w:color="auto" w:fill="auto"/>
          <w:lang w:eastAsia="zh-CN"/>
        </w:rPr>
        <w:t>，应</w:t>
      </w:r>
      <w:r>
        <w:rPr>
          <w:rFonts w:hint="eastAsia" w:ascii="Times New Roman" w:hAnsi="Times New Roman" w:eastAsia="仿宋_GB2312" w:cs="Times New Roman"/>
          <w:i w:val="0"/>
          <w:caps w:val="0"/>
          <w:color w:val="auto"/>
          <w:spacing w:val="0"/>
          <w:kern w:val="0"/>
          <w:sz w:val="32"/>
          <w:szCs w:val="32"/>
          <w:highlight w:val="none"/>
          <w:shd w:val="clear" w:color="auto" w:fill="auto"/>
          <w:lang w:eastAsia="zh-CN"/>
        </w:rPr>
        <w:t>当</w:t>
      </w:r>
      <w:r>
        <w:rPr>
          <w:rFonts w:hint="default" w:ascii="Times New Roman" w:hAnsi="Times New Roman" w:eastAsia="仿宋_GB2312" w:cs="Times New Roman"/>
          <w:i w:val="0"/>
          <w:caps w:val="0"/>
          <w:color w:val="auto"/>
          <w:spacing w:val="0"/>
          <w:kern w:val="0"/>
          <w:sz w:val="32"/>
          <w:szCs w:val="32"/>
          <w:highlight w:val="none"/>
          <w:shd w:val="clear" w:color="auto" w:fill="auto"/>
          <w:lang w:eastAsia="zh-CN"/>
        </w:rPr>
        <w:t>以</w:t>
      </w:r>
      <w:r>
        <w:rPr>
          <w:rFonts w:hint="default" w:ascii="Times New Roman" w:hAnsi="Times New Roman" w:eastAsia="仿宋_GB2312" w:cs="Times New Roman"/>
          <w:i w:val="0"/>
          <w:caps w:val="0"/>
          <w:color w:val="auto"/>
          <w:spacing w:val="0"/>
          <w:kern w:val="0"/>
          <w:sz w:val="32"/>
          <w:szCs w:val="32"/>
          <w:highlight w:val="none"/>
          <w:shd w:val="clear" w:color="auto" w:fill="auto"/>
        </w:rPr>
        <w:t>评估价值作为对价的参考依据。</w:t>
      </w:r>
    </w:p>
    <w:p w14:paraId="35C80FD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kern w:val="0"/>
          <w:sz w:val="32"/>
          <w:szCs w:val="32"/>
          <w:highlight w:val="none"/>
        </w:rPr>
        <w:t>第</w:t>
      </w:r>
      <w:r>
        <w:rPr>
          <w:rFonts w:hint="default" w:ascii="Times New Roman" w:hAnsi="Times New Roman" w:eastAsia="仿宋_GB2312" w:cs="Times New Roman"/>
          <w:b/>
          <w:bCs/>
          <w:color w:val="auto"/>
          <w:kern w:val="0"/>
          <w:sz w:val="32"/>
          <w:szCs w:val="32"/>
          <w:highlight w:val="none"/>
          <w:lang w:val="en-US" w:eastAsia="zh-CN"/>
        </w:rPr>
        <w:t>六十二</w:t>
      </w:r>
      <w:r>
        <w:rPr>
          <w:rFonts w:hint="default" w:ascii="Times New Roman" w:hAnsi="Times New Roman" w:eastAsia="仿宋_GB2312" w:cs="Times New Roman"/>
          <w:b/>
          <w:bCs/>
          <w:color w:val="auto"/>
          <w:kern w:val="0"/>
          <w:sz w:val="32"/>
          <w:szCs w:val="32"/>
          <w:highlight w:val="none"/>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b w:val="0"/>
          <w:bCs w:val="0"/>
          <w:color w:val="auto"/>
          <w:kern w:val="0"/>
          <w:sz w:val="32"/>
          <w:szCs w:val="32"/>
          <w:highlight w:val="none"/>
          <w:lang w:val="en-US" w:eastAsia="zh-CN"/>
        </w:rPr>
        <w:t>市直</w:t>
      </w:r>
      <w:r>
        <w:rPr>
          <w:rFonts w:hint="default" w:ascii="Times New Roman" w:hAnsi="Times New Roman" w:eastAsia="仿宋_GB2312" w:cs="Times New Roman"/>
          <w:color w:val="auto"/>
          <w:kern w:val="0"/>
          <w:sz w:val="32"/>
          <w:szCs w:val="32"/>
          <w:highlight w:val="none"/>
          <w:lang w:val="en-US" w:eastAsia="zh-CN"/>
        </w:rPr>
        <w:t>行政事业</w:t>
      </w:r>
      <w:r>
        <w:rPr>
          <w:rFonts w:hint="default" w:ascii="Times New Roman" w:hAnsi="Times New Roman" w:eastAsia="仿宋_GB2312" w:cs="Times New Roman"/>
          <w:color w:val="auto"/>
          <w:kern w:val="0"/>
          <w:sz w:val="32"/>
          <w:szCs w:val="32"/>
          <w:highlight w:val="none"/>
        </w:rPr>
        <w:t>单位申请</w:t>
      </w:r>
      <w:r>
        <w:rPr>
          <w:rFonts w:hint="default" w:ascii="Times New Roman" w:hAnsi="Times New Roman" w:eastAsia="仿宋_GB2312" w:cs="Times New Roman"/>
          <w:color w:val="auto"/>
          <w:kern w:val="0"/>
          <w:sz w:val="32"/>
          <w:szCs w:val="32"/>
          <w:highlight w:val="none"/>
          <w:u w:val="none"/>
        </w:rPr>
        <w:t>转让</w:t>
      </w:r>
      <w:r>
        <w:rPr>
          <w:rFonts w:hint="default" w:ascii="Times New Roman" w:hAnsi="Times New Roman" w:eastAsia="仿宋_GB2312" w:cs="Times New Roman"/>
          <w:color w:val="auto"/>
          <w:kern w:val="0"/>
          <w:sz w:val="32"/>
          <w:szCs w:val="32"/>
          <w:highlight w:val="none"/>
        </w:rPr>
        <w:t>或置换资产，应</w:t>
      </w:r>
      <w:r>
        <w:rPr>
          <w:rFonts w:hint="eastAsia" w:ascii="Times New Roman" w:hAnsi="Times New Roman" w:eastAsia="仿宋_GB2312" w:cs="Times New Roman"/>
          <w:color w:val="auto"/>
          <w:kern w:val="0"/>
          <w:sz w:val="32"/>
          <w:szCs w:val="32"/>
          <w:highlight w:val="none"/>
          <w:lang w:eastAsia="zh-CN"/>
        </w:rPr>
        <w:t>当</w:t>
      </w:r>
      <w:r>
        <w:rPr>
          <w:rFonts w:hint="default" w:ascii="Times New Roman" w:hAnsi="Times New Roman" w:eastAsia="仿宋_GB2312" w:cs="Times New Roman"/>
          <w:color w:val="auto"/>
          <w:kern w:val="0"/>
          <w:sz w:val="32"/>
          <w:szCs w:val="32"/>
          <w:highlight w:val="none"/>
        </w:rPr>
        <w:t>提交以下材料：</w:t>
      </w:r>
    </w:p>
    <w:p w14:paraId="14B25A5E">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（一）申请文件</w:t>
      </w:r>
      <w:r>
        <w:rPr>
          <w:rFonts w:hint="default" w:ascii="Times New Roman" w:hAnsi="Times New Roman" w:eastAsia="仿宋_GB2312" w:cs="Times New Roman"/>
          <w:color w:val="auto"/>
          <w:kern w:val="0"/>
          <w:sz w:val="32"/>
          <w:szCs w:val="32"/>
          <w:highlight w:val="none"/>
          <w:lang w:val="en-US" w:eastAsia="zh-CN" w:bidi="ar-SA"/>
        </w:rPr>
        <w:t>及单位内部决策文件</w:t>
      </w:r>
      <w:r>
        <w:rPr>
          <w:rFonts w:hint="default" w:ascii="Times New Roman" w:hAnsi="Times New Roman" w:eastAsia="仿宋_GB2312" w:cs="Times New Roman"/>
          <w:color w:val="auto"/>
          <w:kern w:val="0"/>
          <w:sz w:val="32"/>
          <w:szCs w:val="32"/>
          <w:highlight w:val="none"/>
        </w:rPr>
        <w:t>、</w:t>
      </w:r>
      <w:r>
        <w:rPr>
          <w:rFonts w:hint="default" w:ascii="Times New Roman" w:hAnsi="Times New Roman" w:eastAsia="仿宋_GB2312" w:cs="Times New Roman"/>
          <w:color w:val="auto"/>
          <w:kern w:val="0"/>
          <w:sz w:val="32"/>
          <w:szCs w:val="32"/>
          <w:highlight w:val="none"/>
          <w:u w:val="none"/>
        </w:rPr>
        <w:t>《</w:t>
      </w:r>
      <w:r>
        <w:rPr>
          <w:rFonts w:hint="default" w:ascii="Times New Roman" w:hAnsi="Times New Roman" w:eastAsia="仿宋_GB2312" w:cs="Times New Roman"/>
          <w:color w:val="auto"/>
          <w:kern w:val="0"/>
          <w:sz w:val="32"/>
          <w:szCs w:val="32"/>
          <w:highlight w:val="none"/>
          <w:u w:val="none"/>
          <w:lang w:eastAsia="zh-CN"/>
        </w:rPr>
        <w:t>咸宁市市直</w:t>
      </w:r>
      <w:r>
        <w:rPr>
          <w:rFonts w:hint="default" w:ascii="Times New Roman" w:hAnsi="Times New Roman" w:eastAsia="仿宋_GB2312" w:cs="Times New Roman"/>
          <w:color w:val="auto"/>
          <w:kern w:val="0"/>
          <w:sz w:val="32"/>
          <w:szCs w:val="32"/>
          <w:highlight w:val="none"/>
          <w:u w:val="none"/>
        </w:rPr>
        <w:t>行政事业单位国有资产</w:t>
      </w:r>
      <w:r>
        <w:rPr>
          <w:rFonts w:hint="default" w:ascii="Times New Roman" w:hAnsi="Times New Roman" w:eastAsia="仿宋_GB2312" w:cs="Times New Roman"/>
          <w:color w:val="auto"/>
          <w:kern w:val="0"/>
          <w:sz w:val="32"/>
          <w:szCs w:val="32"/>
          <w:highlight w:val="none"/>
          <w:u w:val="none"/>
          <w:lang w:eastAsia="zh-CN"/>
        </w:rPr>
        <w:t>转让等</w:t>
      </w:r>
      <w:r>
        <w:rPr>
          <w:rFonts w:hint="default" w:ascii="Times New Roman" w:hAnsi="Times New Roman" w:eastAsia="仿宋_GB2312" w:cs="Times New Roman"/>
          <w:color w:val="auto"/>
          <w:kern w:val="0"/>
          <w:sz w:val="32"/>
          <w:szCs w:val="32"/>
          <w:highlight w:val="none"/>
          <w:u w:val="none"/>
        </w:rPr>
        <w:t>申请表》</w:t>
      </w:r>
      <w:r>
        <w:rPr>
          <w:rFonts w:hint="default" w:ascii="Times New Roman" w:hAnsi="Times New Roman" w:eastAsia="仿宋_GB2312" w:cs="Times New Roman"/>
          <w:color w:val="auto"/>
          <w:kern w:val="0"/>
          <w:sz w:val="32"/>
          <w:szCs w:val="32"/>
          <w:highlight w:val="none"/>
        </w:rPr>
        <w:t>；</w:t>
      </w:r>
    </w:p>
    <w:p w14:paraId="64AB69D0">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rPr>
        <w:t>（二）中介机构出具的资产评估报告及</w:t>
      </w:r>
      <w:r>
        <w:rPr>
          <w:rFonts w:hint="default" w:ascii="Times New Roman" w:hAnsi="Times New Roman" w:eastAsia="仿宋_GB2312" w:cs="Times New Roman"/>
          <w:color w:val="auto"/>
          <w:kern w:val="0"/>
          <w:sz w:val="32"/>
          <w:szCs w:val="32"/>
          <w:highlight w:val="none"/>
          <w:u w:val="none"/>
        </w:rPr>
        <w:t>单位关于同类资产情况说明；</w:t>
      </w:r>
    </w:p>
    <w:p w14:paraId="4592388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（三）拟采用协议转让方式处置的，应当提供转让意向书；</w:t>
      </w:r>
    </w:p>
    <w:p w14:paraId="011ACEC1">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（四）拟采用置换方式处置的，应当提供政府或主管部门的相关文件或会议纪要、置换意向书；</w:t>
      </w:r>
    </w:p>
    <w:p w14:paraId="73FEA98E">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（五）涉及土地、房屋、车辆</w:t>
      </w:r>
      <w:r>
        <w:rPr>
          <w:rFonts w:hint="default" w:ascii="Times New Roman" w:hAnsi="Times New Roman" w:eastAsia="仿宋_GB2312" w:cs="Times New Roman"/>
          <w:color w:val="auto"/>
          <w:kern w:val="0"/>
          <w:sz w:val="32"/>
          <w:szCs w:val="32"/>
          <w:highlight w:val="none"/>
          <w:lang w:eastAsia="zh-CN"/>
        </w:rPr>
        <w:t>等资产</w:t>
      </w:r>
      <w:r>
        <w:rPr>
          <w:rFonts w:hint="default" w:ascii="Times New Roman" w:hAnsi="Times New Roman" w:eastAsia="仿宋_GB2312" w:cs="Times New Roman"/>
          <w:color w:val="auto"/>
          <w:kern w:val="0"/>
          <w:sz w:val="32"/>
          <w:szCs w:val="32"/>
          <w:highlight w:val="none"/>
        </w:rPr>
        <w:t>，应当提供权属证明，需提交相关职能部门审核意见；</w:t>
      </w:r>
    </w:p>
    <w:p w14:paraId="0EEBE35E">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bCs/>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rPr>
        <w:t>（六）其他相关材料。</w:t>
      </w:r>
      <w:r>
        <w:rPr>
          <w:rFonts w:hint="default" w:ascii="Times New Roman" w:hAnsi="Times New Roman" w:eastAsia="仿宋_GB2312" w:cs="Times New Roman"/>
          <w:b/>
          <w:bCs/>
          <w:color w:val="auto"/>
          <w:kern w:val="0"/>
          <w:sz w:val="32"/>
          <w:szCs w:val="32"/>
          <w:highlight w:val="none"/>
          <w:lang w:val="en-US" w:eastAsia="zh-CN"/>
        </w:rPr>
        <w:t xml:space="preserve"> </w:t>
      </w:r>
    </w:p>
    <w:p w14:paraId="6A48CAB4">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sz w:val="32"/>
          <w:szCs w:val="32"/>
          <w:highlight w:val="none"/>
        </w:rPr>
        <w:t>第</w:t>
      </w:r>
      <w:r>
        <w:rPr>
          <w:rFonts w:hint="default" w:ascii="Times New Roman" w:hAnsi="Times New Roman" w:eastAsia="仿宋_GB2312" w:cs="Times New Roman"/>
          <w:b/>
          <w:bCs/>
          <w:color w:val="auto"/>
          <w:sz w:val="32"/>
          <w:szCs w:val="32"/>
          <w:highlight w:val="none"/>
          <w:lang w:eastAsia="zh-CN"/>
        </w:rPr>
        <w:t>六十三</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黑体" w:cs="Times New Roman"/>
          <w:color w:val="auto"/>
          <w:sz w:val="32"/>
          <w:szCs w:val="32"/>
          <w:highlight w:val="none"/>
        </w:rPr>
        <w:t xml:space="preserve"> </w:t>
      </w:r>
      <w:r>
        <w:rPr>
          <w:rFonts w:hint="default" w:ascii="Times New Roman" w:hAnsi="Times New Roman" w:eastAsia="仿宋_GB2312" w:cs="Times New Roman"/>
          <w:color w:val="auto"/>
          <w:kern w:val="0"/>
          <w:sz w:val="32"/>
          <w:szCs w:val="32"/>
          <w:highlight w:val="none"/>
          <w:lang w:eastAsia="zh-CN"/>
        </w:rPr>
        <w:t>市直</w:t>
      </w:r>
      <w:r>
        <w:rPr>
          <w:rFonts w:hint="default" w:ascii="Times New Roman" w:hAnsi="Times New Roman" w:eastAsia="仿宋_GB2312" w:cs="Times New Roman"/>
          <w:color w:val="auto"/>
          <w:kern w:val="0"/>
          <w:sz w:val="32"/>
          <w:szCs w:val="32"/>
          <w:highlight w:val="none"/>
        </w:rPr>
        <w:t>行政事业单位国有房屋资产征收拆迁，应当提交以下材料：</w:t>
      </w:r>
    </w:p>
    <w:p w14:paraId="55B77560">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（一）申请文件及单位内部集体决策文件，国有资产价值凭证及产权证明，以及《</w:t>
      </w:r>
      <w:r>
        <w:rPr>
          <w:rFonts w:hint="default" w:ascii="Times New Roman" w:hAnsi="Times New Roman" w:eastAsia="仿宋_GB2312" w:cs="Times New Roman"/>
          <w:color w:val="auto"/>
          <w:kern w:val="0"/>
          <w:sz w:val="32"/>
          <w:szCs w:val="32"/>
          <w:highlight w:val="none"/>
          <w:lang w:eastAsia="zh-CN"/>
        </w:rPr>
        <w:t>咸宁市市直</w:t>
      </w:r>
      <w:r>
        <w:rPr>
          <w:rFonts w:hint="default" w:ascii="Times New Roman" w:hAnsi="Times New Roman" w:eastAsia="仿宋_GB2312" w:cs="Times New Roman"/>
          <w:color w:val="auto"/>
          <w:kern w:val="0"/>
          <w:sz w:val="32"/>
          <w:szCs w:val="32"/>
          <w:highlight w:val="none"/>
        </w:rPr>
        <w:t>行政事业单位国有资产转让等申请表》；</w:t>
      </w:r>
    </w:p>
    <w:p w14:paraId="7F91287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（二）当地政府征收拆迁文件、公告；</w:t>
      </w:r>
    </w:p>
    <w:p w14:paraId="036CF60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（三）征迁双方签署的征拆补偿意向性协议；</w:t>
      </w:r>
    </w:p>
    <w:p w14:paraId="1EE159D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（四）国有资产评估报告；</w:t>
      </w:r>
    </w:p>
    <w:p w14:paraId="0BC0E287">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（五）其他相关材料。</w:t>
      </w:r>
    </w:p>
    <w:p w14:paraId="01BB012E">
      <w:pPr>
        <w:pStyle w:val="2"/>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textAlignment w:val="auto"/>
        <w:outlineLvl w:val="9"/>
        <w:rPr>
          <w:rFonts w:hint="default"/>
          <w:lang w:val="en-US" w:eastAsia="zh-CN"/>
        </w:rPr>
      </w:pPr>
    </w:p>
    <w:p w14:paraId="10C142DF">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w:t>
      </w:r>
      <w:r>
        <w:rPr>
          <w:rFonts w:hint="eastAsia" w:ascii="仿宋_GB2312" w:hAnsi="仿宋_GB2312" w:eastAsia="仿宋_GB2312" w:cs="仿宋_GB2312"/>
          <w:b/>
          <w:bCs/>
          <w:color w:val="auto"/>
          <w:kern w:val="0"/>
          <w:sz w:val="32"/>
          <w:szCs w:val="32"/>
          <w:highlight w:val="none"/>
          <w:lang w:eastAsia="zh-CN"/>
        </w:rPr>
        <w:t>四</w:t>
      </w:r>
      <w:r>
        <w:rPr>
          <w:rFonts w:hint="eastAsia" w:ascii="仿宋_GB2312" w:hAnsi="仿宋_GB2312" w:eastAsia="仿宋_GB2312" w:cs="仿宋_GB2312"/>
          <w:b/>
          <w:bCs/>
          <w:color w:val="auto"/>
          <w:kern w:val="0"/>
          <w:sz w:val="32"/>
          <w:szCs w:val="32"/>
          <w:highlight w:val="none"/>
          <w:lang w:val="en-US" w:eastAsia="zh-CN"/>
        </w:rPr>
        <w:t>节</w:t>
      </w:r>
      <w:r>
        <w:rPr>
          <w:rFonts w:hint="eastAsia" w:ascii="仿宋_GB2312" w:hAnsi="仿宋_GB2312" w:eastAsia="仿宋_GB2312" w:cs="仿宋_GB2312"/>
          <w:b/>
          <w:bCs/>
          <w:color w:val="auto"/>
          <w:kern w:val="0"/>
          <w:sz w:val="32"/>
          <w:szCs w:val="32"/>
          <w:highlight w:val="none"/>
        </w:rPr>
        <w:t>　报　废</w:t>
      </w:r>
    </w:p>
    <w:p w14:paraId="0A7B78FC">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b/>
          <w:bCs/>
          <w:color w:val="auto"/>
          <w:kern w:val="0"/>
          <w:sz w:val="32"/>
          <w:szCs w:val="32"/>
          <w:highlight w:val="none"/>
          <w:lang w:val="en-US" w:eastAsia="zh-CN" w:bidi="ar-SA"/>
        </w:rPr>
        <w:t xml:space="preserve">第六十四条 </w:t>
      </w:r>
      <w:r>
        <w:rPr>
          <w:rFonts w:hint="default" w:ascii="Times New Roman" w:hAnsi="Times New Roman" w:eastAsia="仿宋_GB2312" w:cs="Times New Roman"/>
          <w:color w:val="auto"/>
          <w:kern w:val="0"/>
          <w:sz w:val="32"/>
          <w:szCs w:val="32"/>
          <w:highlight w:val="none"/>
          <w:lang w:val="en-US" w:eastAsia="zh-CN" w:bidi="ar-SA"/>
        </w:rPr>
        <w:t>报废是指市直行政事业单位根据有关规定或经有关部门、专家鉴定，对因技术原因确需淘汰或者无法维修、无维修价值的国有资产，或者</w:t>
      </w:r>
      <w:r>
        <w:rPr>
          <w:rFonts w:hint="default" w:ascii="Times New Roman" w:hAnsi="Times New Roman" w:eastAsia="仿宋_GB2312" w:cs="Times New Roman"/>
          <w:b w:val="0"/>
          <w:bCs w:val="0"/>
          <w:color w:val="auto"/>
          <w:sz w:val="32"/>
          <w:szCs w:val="32"/>
          <w:highlight w:val="none"/>
          <w:lang w:eastAsia="zh-CN"/>
        </w:rPr>
        <w:t>已超过使用年限且无法继续使用的资产</w:t>
      </w:r>
      <w:r>
        <w:rPr>
          <w:rFonts w:hint="default" w:ascii="Times New Roman" w:hAnsi="Times New Roman" w:eastAsia="仿宋_GB2312" w:cs="Times New Roman"/>
          <w:color w:val="auto"/>
          <w:kern w:val="0"/>
          <w:sz w:val="32"/>
          <w:szCs w:val="32"/>
          <w:highlight w:val="none"/>
          <w:lang w:val="en-US" w:eastAsia="zh-CN" w:bidi="ar-SA"/>
        </w:rPr>
        <w:t>，进行产权核销的国有资产处置行为。</w:t>
      </w:r>
    </w:p>
    <w:p w14:paraId="1EB64C27">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u w:val="single"/>
          <w:lang w:val="en-US" w:eastAsia="zh-CN" w:bidi="ar-SA"/>
        </w:rPr>
      </w:pPr>
      <w:r>
        <w:rPr>
          <w:rFonts w:hint="default" w:ascii="Times New Roman" w:hAnsi="Times New Roman" w:eastAsia="仿宋_GB2312" w:cs="Times New Roman"/>
          <w:b/>
          <w:bCs/>
          <w:color w:val="auto"/>
          <w:kern w:val="0"/>
          <w:sz w:val="32"/>
          <w:szCs w:val="32"/>
          <w:highlight w:val="none"/>
        </w:rPr>
        <w:t>第</w:t>
      </w:r>
      <w:r>
        <w:rPr>
          <w:rFonts w:hint="default" w:ascii="Times New Roman" w:hAnsi="Times New Roman" w:eastAsia="仿宋_GB2312" w:cs="Times New Roman"/>
          <w:b/>
          <w:bCs/>
          <w:color w:val="auto"/>
          <w:kern w:val="0"/>
          <w:sz w:val="32"/>
          <w:szCs w:val="32"/>
          <w:highlight w:val="none"/>
          <w:lang w:eastAsia="zh-CN"/>
        </w:rPr>
        <w:t>六十五</w:t>
      </w:r>
      <w:r>
        <w:rPr>
          <w:rFonts w:hint="default" w:ascii="Times New Roman" w:hAnsi="Times New Roman" w:eastAsia="仿宋_GB2312" w:cs="Times New Roman"/>
          <w:b/>
          <w:bCs/>
          <w:color w:val="auto"/>
          <w:kern w:val="0"/>
          <w:sz w:val="32"/>
          <w:szCs w:val="32"/>
          <w:highlight w:val="none"/>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b w:val="0"/>
          <w:bCs w:val="0"/>
          <w:color w:val="auto"/>
          <w:kern w:val="0"/>
          <w:sz w:val="32"/>
          <w:szCs w:val="32"/>
          <w:highlight w:val="none"/>
          <w:lang w:val="en-US" w:eastAsia="zh-CN"/>
        </w:rPr>
        <w:t>市直</w:t>
      </w:r>
      <w:r>
        <w:rPr>
          <w:rFonts w:hint="default" w:ascii="Times New Roman" w:hAnsi="Times New Roman" w:eastAsia="仿宋_GB2312" w:cs="Times New Roman"/>
          <w:color w:val="auto"/>
          <w:kern w:val="0"/>
          <w:sz w:val="32"/>
          <w:szCs w:val="32"/>
          <w:highlight w:val="none"/>
          <w:u w:val="none"/>
          <w:lang w:val="en-US" w:eastAsia="zh-CN" w:bidi="ar-SA"/>
        </w:rPr>
        <w:t>行政事业单位通用办公设备及家具报废年限应当按照现行资产配置标准规定的使用年限执行，其他资产报废年限可参照政府会计准则制度等折旧年限标准执行。已达使用年限仍可继续使用的国有资产，应当继续使用，不得报废。</w:t>
      </w:r>
    </w:p>
    <w:p w14:paraId="7D7952FA">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rPr>
        <w:t>国家或行业对资产报废有技术要求的，应当由具备相应资质的专业机构进行技术鉴定。房屋、车辆、电器电子产品、危险品报废（拆除）等处理应当符合国家有关规定。</w:t>
      </w:r>
    </w:p>
    <w:p w14:paraId="66C9CF31">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kern w:val="0"/>
          <w:sz w:val="32"/>
          <w:szCs w:val="32"/>
          <w:highlight w:val="none"/>
        </w:rPr>
        <w:t>第</w:t>
      </w:r>
      <w:r>
        <w:rPr>
          <w:rFonts w:hint="default" w:ascii="Times New Roman" w:hAnsi="Times New Roman" w:eastAsia="仿宋_GB2312" w:cs="Times New Roman"/>
          <w:b/>
          <w:bCs/>
          <w:color w:val="auto"/>
          <w:kern w:val="0"/>
          <w:sz w:val="32"/>
          <w:szCs w:val="32"/>
          <w:highlight w:val="none"/>
          <w:lang w:eastAsia="zh-CN"/>
        </w:rPr>
        <w:t>六十六</w:t>
      </w:r>
      <w:r>
        <w:rPr>
          <w:rFonts w:hint="default" w:ascii="Times New Roman" w:hAnsi="Times New Roman" w:eastAsia="仿宋_GB2312" w:cs="Times New Roman"/>
          <w:b/>
          <w:bCs/>
          <w:color w:val="auto"/>
          <w:kern w:val="0"/>
          <w:sz w:val="32"/>
          <w:szCs w:val="32"/>
          <w:highlight w:val="none"/>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b w:val="0"/>
          <w:bCs w:val="0"/>
          <w:color w:val="auto"/>
          <w:kern w:val="0"/>
          <w:sz w:val="32"/>
          <w:szCs w:val="32"/>
          <w:highlight w:val="none"/>
          <w:lang w:val="en-US" w:eastAsia="zh-CN"/>
        </w:rPr>
        <w:t>市直</w:t>
      </w:r>
      <w:r>
        <w:rPr>
          <w:rFonts w:hint="default" w:ascii="Times New Roman" w:hAnsi="Times New Roman" w:eastAsia="仿宋_GB2312" w:cs="Times New Roman"/>
          <w:color w:val="auto"/>
          <w:kern w:val="0"/>
          <w:sz w:val="32"/>
          <w:szCs w:val="32"/>
          <w:highlight w:val="none"/>
          <w:lang w:val="en-US" w:eastAsia="zh-CN" w:bidi="ar-SA"/>
        </w:rPr>
        <w:t>行政事业单位</w:t>
      </w:r>
      <w:r>
        <w:rPr>
          <w:rFonts w:hint="default" w:ascii="Times New Roman" w:hAnsi="Times New Roman" w:eastAsia="仿宋_GB2312" w:cs="Times New Roman"/>
          <w:color w:val="auto"/>
          <w:kern w:val="0"/>
          <w:sz w:val="32"/>
          <w:szCs w:val="32"/>
          <w:highlight w:val="none"/>
        </w:rPr>
        <w:t>申请报废资产，应</w:t>
      </w:r>
      <w:r>
        <w:rPr>
          <w:rFonts w:hint="eastAsia" w:ascii="Times New Roman" w:hAnsi="Times New Roman" w:eastAsia="仿宋_GB2312" w:cs="Times New Roman"/>
          <w:color w:val="auto"/>
          <w:kern w:val="0"/>
          <w:sz w:val="32"/>
          <w:szCs w:val="32"/>
          <w:highlight w:val="none"/>
          <w:lang w:eastAsia="zh-CN"/>
        </w:rPr>
        <w:t>当</w:t>
      </w:r>
      <w:r>
        <w:rPr>
          <w:rFonts w:hint="default" w:ascii="Times New Roman" w:hAnsi="Times New Roman" w:eastAsia="仿宋_GB2312" w:cs="Times New Roman"/>
          <w:color w:val="auto"/>
          <w:kern w:val="0"/>
          <w:sz w:val="32"/>
          <w:szCs w:val="32"/>
          <w:highlight w:val="none"/>
        </w:rPr>
        <w:t>提交以下材料：</w:t>
      </w:r>
    </w:p>
    <w:p w14:paraId="0C3D0AC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（一）申请文件及单位内部决策文件</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国有资产价值凭证及产权证明</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以及《</w:t>
      </w:r>
      <w:r>
        <w:rPr>
          <w:rFonts w:hint="default" w:ascii="Times New Roman" w:hAnsi="Times New Roman" w:eastAsia="仿宋_GB2312" w:cs="Times New Roman"/>
          <w:color w:val="auto"/>
          <w:kern w:val="0"/>
          <w:sz w:val="32"/>
          <w:szCs w:val="32"/>
          <w:highlight w:val="none"/>
          <w:lang w:eastAsia="zh-CN"/>
        </w:rPr>
        <w:t>咸宁市市直</w:t>
      </w:r>
      <w:r>
        <w:rPr>
          <w:rFonts w:hint="default" w:ascii="Times New Roman" w:hAnsi="Times New Roman" w:eastAsia="仿宋_GB2312" w:cs="Times New Roman"/>
          <w:color w:val="auto"/>
          <w:kern w:val="0"/>
          <w:sz w:val="32"/>
          <w:szCs w:val="32"/>
          <w:highlight w:val="none"/>
        </w:rPr>
        <w:t>行政事业单位国有资产转让等申请表》</w:t>
      </w:r>
      <w:r>
        <w:rPr>
          <w:rFonts w:hint="eastAsia" w:ascii="Times New Roman" w:hAnsi="Times New Roman" w:eastAsia="仿宋_GB2312" w:cs="Times New Roman"/>
          <w:color w:val="auto"/>
          <w:kern w:val="0"/>
          <w:sz w:val="32"/>
          <w:szCs w:val="32"/>
          <w:highlight w:val="none"/>
          <w:lang w:eastAsia="zh-CN"/>
        </w:rPr>
        <w:t>；</w:t>
      </w:r>
    </w:p>
    <w:p w14:paraId="1481F4CA">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（二）有关部门、专家出具的鉴定文件及处理意见</w:t>
      </w:r>
      <w:r>
        <w:rPr>
          <w:rFonts w:hint="eastAsia" w:ascii="Times New Roman" w:hAnsi="Times New Roman" w:eastAsia="仿宋_GB2312" w:cs="Times New Roman"/>
          <w:color w:val="auto"/>
          <w:kern w:val="0"/>
          <w:sz w:val="32"/>
          <w:szCs w:val="32"/>
          <w:highlight w:val="none"/>
          <w:lang w:eastAsia="zh-CN"/>
        </w:rPr>
        <w:t>；</w:t>
      </w:r>
    </w:p>
    <w:p w14:paraId="7C421755">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（三）因房屋拆除等原因需办理国有资产核销手续的</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提交相关职能部门的房屋拆除批复文件、专业机构出具的鉴定报告，建设项目拆建立项文件等</w:t>
      </w:r>
      <w:r>
        <w:rPr>
          <w:rFonts w:hint="eastAsia" w:ascii="Times New Roman" w:hAnsi="Times New Roman" w:eastAsia="仿宋_GB2312" w:cs="Times New Roman"/>
          <w:color w:val="auto"/>
          <w:kern w:val="0"/>
          <w:sz w:val="32"/>
          <w:szCs w:val="32"/>
          <w:highlight w:val="none"/>
          <w:lang w:eastAsia="zh-CN"/>
        </w:rPr>
        <w:t>；</w:t>
      </w:r>
    </w:p>
    <w:p w14:paraId="75491BEF">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eastAsia" w:ascii="Times New Roman" w:hAnsi="Times New Roman" w:eastAsia="仿宋_GB2312" w:cs="Times New Roman"/>
          <w:color w:val="auto"/>
          <w:kern w:val="0"/>
          <w:sz w:val="32"/>
          <w:szCs w:val="32"/>
          <w:highlight w:val="none"/>
          <w:lang w:eastAsia="zh-CN"/>
        </w:rPr>
      </w:pPr>
      <w:r>
        <w:rPr>
          <w:rFonts w:hint="default" w:ascii="Times New Roman" w:hAnsi="Times New Roman" w:eastAsia="仿宋_GB2312" w:cs="Times New Roman"/>
          <w:color w:val="auto"/>
          <w:kern w:val="0"/>
          <w:sz w:val="32"/>
          <w:szCs w:val="32"/>
          <w:highlight w:val="none"/>
        </w:rPr>
        <w:t>（四）专利、非专利技术、著作权、资源资质等因被其他新技术所代替或者已经超过法律保护的期限、丧失使用价值和转让价值的</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提供有关技术部门的鉴定材料</w:t>
      </w:r>
      <w:r>
        <w:rPr>
          <w:rFonts w:hint="eastAsia" w:ascii="Times New Roman" w:hAnsi="Times New Roman" w:eastAsia="仿宋_GB2312" w:cs="Times New Roman"/>
          <w:color w:val="auto"/>
          <w:kern w:val="0"/>
          <w:sz w:val="32"/>
          <w:szCs w:val="32"/>
          <w:highlight w:val="none"/>
          <w:lang w:eastAsia="zh-CN"/>
        </w:rPr>
        <w:t>，</w:t>
      </w:r>
      <w:r>
        <w:rPr>
          <w:rFonts w:hint="default" w:ascii="Times New Roman" w:hAnsi="Times New Roman" w:eastAsia="仿宋_GB2312" w:cs="Times New Roman"/>
          <w:color w:val="auto"/>
          <w:kern w:val="0"/>
          <w:sz w:val="32"/>
          <w:szCs w:val="32"/>
          <w:highlight w:val="none"/>
        </w:rPr>
        <w:t>或者已经超过法律保护期限的证明文件</w:t>
      </w:r>
      <w:r>
        <w:rPr>
          <w:rFonts w:hint="eastAsia" w:ascii="Times New Roman" w:hAnsi="Times New Roman" w:eastAsia="仿宋_GB2312" w:cs="Times New Roman"/>
          <w:color w:val="auto"/>
          <w:kern w:val="0"/>
          <w:sz w:val="32"/>
          <w:szCs w:val="32"/>
          <w:highlight w:val="none"/>
          <w:lang w:eastAsia="zh-CN"/>
        </w:rPr>
        <w:t>；</w:t>
      </w:r>
    </w:p>
    <w:p w14:paraId="70564B34">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color w:val="auto"/>
          <w:kern w:val="0"/>
          <w:sz w:val="32"/>
          <w:szCs w:val="32"/>
          <w:highlight w:val="none"/>
        </w:rPr>
        <w:t>（五）其他相关材料。</w:t>
      </w:r>
    </w:p>
    <w:p w14:paraId="08C00759">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b/>
          <w:bCs/>
          <w:color w:val="auto"/>
          <w:kern w:val="0"/>
          <w:sz w:val="32"/>
          <w:szCs w:val="32"/>
          <w:highlight w:val="none"/>
        </w:rPr>
        <w:t>第</w:t>
      </w:r>
      <w:r>
        <w:rPr>
          <w:rFonts w:hint="default" w:ascii="Times New Roman" w:hAnsi="Times New Roman" w:eastAsia="仿宋_GB2312" w:cs="Times New Roman"/>
          <w:b/>
          <w:bCs/>
          <w:color w:val="auto"/>
          <w:kern w:val="0"/>
          <w:sz w:val="32"/>
          <w:szCs w:val="32"/>
          <w:highlight w:val="none"/>
          <w:lang w:eastAsia="zh-CN"/>
        </w:rPr>
        <w:t>六十七</w:t>
      </w:r>
      <w:r>
        <w:rPr>
          <w:rFonts w:hint="default" w:ascii="Times New Roman" w:hAnsi="Times New Roman" w:eastAsia="仿宋_GB2312" w:cs="Times New Roman"/>
          <w:b/>
          <w:bCs/>
          <w:color w:val="auto"/>
          <w:kern w:val="0"/>
          <w:sz w:val="32"/>
          <w:szCs w:val="32"/>
          <w:highlight w:val="none"/>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lang w:val="en-US" w:eastAsia="zh-CN" w:bidi="ar-SA"/>
        </w:rPr>
        <w:t>除国家、省、市另有规定外，市直行政事业单位可以根据国有资产评估管理有关规定，对资产购置的单位价值或者批量价值、折旧情况、报废数量以及报废原因等实际情况进行综合分析研判，自主决定报废资产的处置是否需要进行资产评估。</w:t>
      </w:r>
    </w:p>
    <w:p w14:paraId="5FCF0FF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Times New Roman" w:hAnsi="Times New Roman" w:eastAsia="仿宋_GB2312" w:cs="Times New Roman"/>
          <w:b/>
          <w:bCs/>
          <w:color w:val="auto"/>
          <w:kern w:val="0"/>
          <w:sz w:val="32"/>
          <w:szCs w:val="32"/>
          <w:highlight w:val="none"/>
        </w:rPr>
      </w:pPr>
    </w:p>
    <w:p w14:paraId="5F5A43C8">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eastAsia" w:ascii="仿宋_GB2312" w:hAnsi="仿宋_GB2312" w:eastAsia="仿宋_GB2312" w:cs="仿宋_GB2312"/>
          <w:b/>
          <w:bCs/>
          <w:color w:val="auto"/>
          <w:kern w:val="0"/>
          <w:sz w:val="32"/>
          <w:szCs w:val="32"/>
          <w:highlight w:val="none"/>
        </w:rPr>
      </w:pPr>
      <w:r>
        <w:rPr>
          <w:rFonts w:hint="eastAsia" w:ascii="仿宋_GB2312" w:hAnsi="仿宋_GB2312" w:eastAsia="仿宋_GB2312" w:cs="仿宋_GB2312"/>
          <w:b/>
          <w:bCs/>
          <w:color w:val="auto"/>
          <w:kern w:val="0"/>
          <w:sz w:val="32"/>
          <w:szCs w:val="32"/>
          <w:highlight w:val="none"/>
        </w:rPr>
        <w:t>第</w:t>
      </w:r>
      <w:r>
        <w:rPr>
          <w:rFonts w:hint="eastAsia" w:ascii="仿宋_GB2312" w:hAnsi="仿宋_GB2312" w:eastAsia="仿宋_GB2312" w:cs="仿宋_GB2312"/>
          <w:b/>
          <w:bCs/>
          <w:color w:val="auto"/>
          <w:kern w:val="0"/>
          <w:sz w:val="32"/>
          <w:szCs w:val="32"/>
          <w:highlight w:val="none"/>
          <w:lang w:eastAsia="zh-CN"/>
        </w:rPr>
        <w:t>五</w:t>
      </w:r>
      <w:r>
        <w:rPr>
          <w:rFonts w:hint="eastAsia" w:ascii="仿宋_GB2312" w:hAnsi="仿宋_GB2312" w:eastAsia="仿宋_GB2312" w:cs="仿宋_GB2312"/>
          <w:b/>
          <w:bCs/>
          <w:color w:val="auto"/>
          <w:kern w:val="0"/>
          <w:sz w:val="32"/>
          <w:szCs w:val="32"/>
          <w:highlight w:val="none"/>
          <w:lang w:val="en-US" w:eastAsia="zh-CN"/>
        </w:rPr>
        <w:t xml:space="preserve">节 </w:t>
      </w:r>
      <w:r>
        <w:rPr>
          <w:rFonts w:hint="eastAsia" w:ascii="仿宋_GB2312" w:hAnsi="仿宋_GB2312" w:eastAsia="仿宋_GB2312" w:cs="仿宋_GB2312"/>
          <w:b/>
          <w:bCs/>
          <w:color w:val="auto"/>
          <w:kern w:val="0"/>
          <w:sz w:val="32"/>
          <w:szCs w:val="32"/>
          <w:highlight w:val="none"/>
        </w:rPr>
        <w:t>损失核销</w:t>
      </w:r>
    </w:p>
    <w:p w14:paraId="3EBDA57B">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b/>
          <w:bCs/>
          <w:color w:val="auto"/>
          <w:kern w:val="0"/>
          <w:sz w:val="32"/>
          <w:szCs w:val="32"/>
          <w:highlight w:val="none"/>
          <w:u w:val="none"/>
        </w:rPr>
        <w:t>第</w:t>
      </w:r>
      <w:r>
        <w:rPr>
          <w:rFonts w:hint="default" w:ascii="Times New Roman" w:hAnsi="Times New Roman" w:eastAsia="仿宋_GB2312" w:cs="Times New Roman"/>
          <w:b/>
          <w:bCs/>
          <w:color w:val="auto"/>
          <w:kern w:val="0"/>
          <w:sz w:val="32"/>
          <w:szCs w:val="32"/>
          <w:highlight w:val="none"/>
          <w:u w:val="none"/>
          <w:lang w:eastAsia="zh-CN"/>
        </w:rPr>
        <w:t>六十八条</w:t>
      </w:r>
      <w:r>
        <w:rPr>
          <w:rFonts w:hint="default" w:ascii="Times New Roman" w:hAnsi="Times New Roman" w:eastAsia="仿宋_GB2312" w:cs="Times New Roman"/>
          <w:b/>
          <w:bCs/>
          <w:color w:val="auto"/>
          <w:kern w:val="0"/>
          <w:sz w:val="32"/>
          <w:szCs w:val="32"/>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rPr>
        <w:t>损失核销是指由于发生盘亏、毁损、非正常损失等原因，按照有关规定对国有资产损失进行核销的国有资产处置行为。</w:t>
      </w:r>
    </w:p>
    <w:p w14:paraId="02D58348">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lang w:val="en-US" w:eastAsia="zh-CN" w:bidi="ar-SA"/>
        </w:rPr>
      </w:pPr>
      <w:r>
        <w:rPr>
          <w:rFonts w:hint="default" w:ascii="Times New Roman" w:hAnsi="Times New Roman" w:eastAsia="仿宋_GB2312" w:cs="Times New Roman"/>
          <w:color w:val="auto"/>
          <w:kern w:val="0"/>
          <w:sz w:val="32"/>
          <w:szCs w:val="32"/>
          <w:highlight w:val="none"/>
          <w:lang w:val="en-US" w:eastAsia="zh-CN" w:bidi="ar-SA"/>
        </w:rPr>
        <w:t>市直行政事业单位</w:t>
      </w:r>
      <w:r>
        <w:rPr>
          <w:rFonts w:hint="default" w:ascii="Times New Roman" w:hAnsi="Times New Roman" w:eastAsia="仿宋_GB2312" w:cs="Times New Roman"/>
          <w:color w:val="auto"/>
          <w:kern w:val="0"/>
          <w:sz w:val="32"/>
          <w:szCs w:val="32"/>
          <w:highlight w:val="none"/>
          <w:u w:val="none"/>
        </w:rPr>
        <w:t>对发生的国有资产损失，应当</w:t>
      </w:r>
      <w:r>
        <w:rPr>
          <w:rFonts w:hint="default" w:ascii="Times New Roman" w:hAnsi="Times New Roman" w:eastAsia="仿宋_GB2312" w:cs="Times New Roman"/>
          <w:color w:val="auto"/>
          <w:kern w:val="0"/>
          <w:sz w:val="32"/>
          <w:szCs w:val="32"/>
          <w:highlight w:val="none"/>
          <w:u w:val="none"/>
          <w:lang w:eastAsia="zh-CN"/>
        </w:rPr>
        <w:t>按照有关规定</w:t>
      </w:r>
      <w:r>
        <w:rPr>
          <w:rFonts w:hint="default" w:ascii="Times New Roman" w:hAnsi="Times New Roman" w:eastAsia="仿宋_GB2312" w:cs="Times New Roman"/>
          <w:color w:val="auto"/>
          <w:kern w:val="0"/>
          <w:sz w:val="32"/>
          <w:szCs w:val="32"/>
          <w:highlight w:val="none"/>
          <w:u w:val="none"/>
        </w:rPr>
        <w:t>及时处理。</w:t>
      </w:r>
      <w:r>
        <w:rPr>
          <w:rFonts w:hint="default" w:ascii="Times New Roman" w:hAnsi="Times New Roman" w:eastAsia="仿宋_GB2312" w:cs="Times New Roman"/>
          <w:color w:val="auto"/>
          <w:kern w:val="0"/>
          <w:sz w:val="32"/>
          <w:szCs w:val="32"/>
          <w:highlight w:val="none"/>
          <w:lang w:val="en-US" w:eastAsia="zh-CN" w:bidi="ar-SA"/>
        </w:rPr>
        <w:t>因会计技术差错造成的资产不实，不属损失核销的认定范围，市直行政事业单位应当依据财务、会计制度有关规定做账务调整处理。</w:t>
      </w:r>
    </w:p>
    <w:p w14:paraId="110AFDBF">
      <w:pPr>
        <w:pStyle w:val="1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b/>
          <w:bCs/>
          <w:color w:val="auto"/>
          <w:kern w:val="0"/>
          <w:sz w:val="32"/>
          <w:szCs w:val="32"/>
          <w:highlight w:val="none"/>
          <w:u w:val="none"/>
        </w:rPr>
        <w:t>第</w:t>
      </w:r>
      <w:r>
        <w:rPr>
          <w:rFonts w:hint="default" w:ascii="Times New Roman" w:hAnsi="Times New Roman" w:eastAsia="仿宋_GB2312" w:cs="Times New Roman"/>
          <w:b/>
          <w:bCs/>
          <w:color w:val="auto"/>
          <w:kern w:val="0"/>
          <w:sz w:val="32"/>
          <w:szCs w:val="32"/>
          <w:highlight w:val="none"/>
          <w:lang w:val="en-US" w:eastAsia="zh-CN" w:bidi="ar-SA"/>
        </w:rPr>
        <w:t>六十九</w:t>
      </w:r>
      <w:r>
        <w:rPr>
          <w:rFonts w:hint="default" w:ascii="Times New Roman" w:hAnsi="Times New Roman" w:eastAsia="仿宋_GB2312" w:cs="Times New Roman"/>
          <w:b/>
          <w:bCs/>
          <w:color w:val="auto"/>
          <w:kern w:val="0"/>
          <w:sz w:val="32"/>
          <w:szCs w:val="32"/>
          <w:highlight w:val="none"/>
          <w:u w:val="none"/>
          <w:lang w:eastAsia="zh-CN"/>
        </w:rPr>
        <w:t>条</w:t>
      </w:r>
      <w:r>
        <w:rPr>
          <w:rFonts w:hint="default" w:ascii="Times New Roman" w:hAnsi="Times New Roman" w:eastAsia="仿宋_GB2312" w:cs="Times New Roman"/>
          <w:b/>
          <w:bCs/>
          <w:color w:val="auto"/>
          <w:kern w:val="0"/>
          <w:sz w:val="32"/>
          <w:szCs w:val="32"/>
          <w:highlight w:val="none"/>
          <w:u w:val="none"/>
          <w:lang w:val="en-US" w:eastAsia="zh-CN"/>
        </w:rPr>
        <w:t xml:space="preserve"> </w:t>
      </w:r>
      <w:r>
        <w:rPr>
          <w:rFonts w:hint="default" w:ascii="Times New Roman" w:hAnsi="Times New Roman" w:eastAsia="仿宋_GB2312" w:cs="Times New Roman"/>
          <w:color w:val="auto"/>
          <w:kern w:val="0"/>
          <w:sz w:val="32"/>
          <w:szCs w:val="32"/>
          <w:highlight w:val="none"/>
          <w:u w:val="none"/>
        </w:rPr>
        <w:t>除涉及国家安全的特殊单位和特别事项外</w:t>
      </w:r>
      <w:r>
        <w:rPr>
          <w:rFonts w:hint="eastAsia" w:ascii="Times New Roman" w:hAnsi="Times New Roman" w:eastAsia="仿宋_GB2312" w:cs="Times New Roman"/>
          <w:color w:val="auto"/>
          <w:kern w:val="0"/>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lang w:eastAsia="zh-CN"/>
        </w:rPr>
        <w:t>市直</w:t>
      </w:r>
      <w:r>
        <w:rPr>
          <w:rFonts w:hint="default" w:ascii="Times New Roman" w:hAnsi="Times New Roman" w:eastAsia="仿宋_GB2312" w:cs="Times New Roman"/>
          <w:color w:val="auto"/>
          <w:kern w:val="0"/>
          <w:sz w:val="32"/>
          <w:szCs w:val="32"/>
          <w:highlight w:val="none"/>
          <w:u w:val="none"/>
        </w:rPr>
        <w:t>行政事业单位申请固定资产、无形资产等国有资产损失核销，应当提交以下材料：</w:t>
      </w:r>
    </w:p>
    <w:p w14:paraId="6F991B5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i w:val="0"/>
          <w:caps w:val="0"/>
          <w:color w:val="auto"/>
          <w:spacing w:val="0"/>
          <w:kern w:val="0"/>
          <w:sz w:val="32"/>
          <w:szCs w:val="32"/>
          <w:highlight w:val="none"/>
          <w:u w:val="none"/>
          <w:shd w:val="clear" w:color="auto" w:fill="auto"/>
          <w:lang w:eastAsia="zh-CN"/>
        </w:rPr>
      </w:pPr>
      <w:r>
        <w:rPr>
          <w:rFonts w:hint="default" w:ascii="Times New Roman" w:hAnsi="Times New Roman" w:eastAsia="仿宋_GB2312" w:cs="Times New Roman"/>
          <w:color w:val="auto"/>
          <w:kern w:val="0"/>
          <w:sz w:val="32"/>
          <w:szCs w:val="32"/>
          <w:highlight w:val="none"/>
          <w:u w:val="none"/>
          <w:lang w:eastAsia="zh-CN"/>
        </w:rPr>
        <w:t>（一）</w:t>
      </w:r>
      <w:r>
        <w:rPr>
          <w:rFonts w:hint="default" w:ascii="Times New Roman" w:hAnsi="Times New Roman" w:eastAsia="仿宋_GB2312" w:cs="Times New Roman"/>
          <w:color w:val="auto"/>
          <w:kern w:val="0"/>
          <w:sz w:val="32"/>
          <w:szCs w:val="32"/>
          <w:highlight w:val="none"/>
          <w:u w:val="none"/>
        </w:rPr>
        <w:t>申请文件及单位内部决策文件</w:t>
      </w:r>
      <w:r>
        <w:rPr>
          <w:rFonts w:hint="default" w:ascii="Times New Roman" w:hAnsi="Times New Roman" w:eastAsia="仿宋_GB2312" w:cs="Times New Roman"/>
          <w:color w:val="auto"/>
          <w:kern w:val="0"/>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rPr>
        <w:t>国有资产价值凭</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rPr>
        <w:t>证及产权证明</w:t>
      </w:r>
      <w:r>
        <w:rPr>
          <w:rFonts w:hint="default" w:ascii="Times New Roman" w:hAnsi="Times New Roman" w:eastAsia="仿宋_GB2312" w:cs="Times New Roman"/>
          <w:i w:val="0"/>
          <w:caps w:val="0"/>
          <w:color w:val="auto"/>
          <w:spacing w:val="0"/>
          <w:kern w:val="0"/>
          <w:sz w:val="32"/>
          <w:szCs w:val="32"/>
          <w:highlight w:val="none"/>
          <w:u w:val="none"/>
          <w:shd w:val="clear" w:color="auto" w:fill="auto"/>
          <w:lang w:eastAsia="zh-CN"/>
        </w:rPr>
        <w:t>、</w:t>
      </w:r>
      <w:r>
        <w:rPr>
          <w:rFonts w:hint="default" w:ascii="Times New Roman" w:hAnsi="Times New Roman" w:eastAsia="仿宋_GB2312" w:cs="Times New Roman"/>
          <w:color w:val="auto"/>
          <w:kern w:val="0"/>
          <w:sz w:val="32"/>
          <w:szCs w:val="32"/>
          <w:highlight w:val="none"/>
          <w:u w:val="none"/>
        </w:rPr>
        <w:t>《</w:t>
      </w:r>
      <w:r>
        <w:rPr>
          <w:rFonts w:hint="default" w:ascii="Times New Roman" w:hAnsi="Times New Roman" w:eastAsia="仿宋_GB2312" w:cs="Times New Roman"/>
          <w:color w:val="auto"/>
          <w:kern w:val="0"/>
          <w:sz w:val="32"/>
          <w:szCs w:val="32"/>
          <w:highlight w:val="none"/>
          <w:u w:val="none"/>
          <w:lang w:eastAsia="zh-CN"/>
        </w:rPr>
        <w:t>咸宁市市直</w:t>
      </w:r>
      <w:r>
        <w:rPr>
          <w:rFonts w:hint="default" w:ascii="Times New Roman" w:hAnsi="Times New Roman" w:eastAsia="仿宋_GB2312" w:cs="Times New Roman"/>
          <w:color w:val="auto"/>
          <w:kern w:val="0"/>
          <w:sz w:val="32"/>
          <w:szCs w:val="32"/>
          <w:highlight w:val="none"/>
          <w:u w:val="none"/>
        </w:rPr>
        <w:t>行政事业单位国有资产</w:t>
      </w:r>
      <w:r>
        <w:rPr>
          <w:rFonts w:hint="default" w:ascii="Times New Roman" w:hAnsi="Times New Roman" w:eastAsia="仿宋_GB2312" w:cs="Times New Roman"/>
          <w:color w:val="auto"/>
          <w:kern w:val="0"/>
          <w:sz w:val="32"/>
          <w:szCs w:val="32"/>
          <w:highlight w:val="none"/>
          <w:u w:val="none"/>
          <w:lang w:eastAsia="zh-CN"/>
        </w:rPr>
        <w:t>转让等</w:t>
      </w:r>
      <w:r>
        <w:rPr>
          <w:rFonts w:hint="default" w:ascii="Times New Roman" w:hAnsi="Times New Roman" w:eastAsia="仿宋_GB2312" w:cs="Times New Roman"/>
          <w:color w:val="auto"/>
          <w:kern w:val="0"/>
          <w:sz w:val="32"/>
          <w:szCs w:val="32"/>
          <w:highlight w:val="none"/>
          <w:u w:val="none"/>
        </w:rPr>
        <w:t>申请表》</w:t>
      </w:r>
      <w:r>
        <w:rPr>
          <w:rFonts w:hint="default" w:ascii="Times New Roman" w:hAnsi="Times New Roman" w:eastAsia="仿宋_GB2312" w:cs="Times New Roman"/>
          <w:i w:val="0"/>
          <w:caps w:val="0"/>
          <w:color w:val="auto"/>
          <w:spacing w:val="0"/>
          <w:kern w:val="0"/>
          <w:sz w:val="32"/>
          <w:szCs w:val="32"/>
          <w:highlight w:val="none"/>
          <w:u w:val="none"/>
          <w:shd w:val="clear" w:color="auto" w:fill="auto"/>
          <w:lang w:eastAsia="zh-CN"/>
        </w:rPr>
        <w:t>；</w:t>
      </w:r>
    </w:p>
    <w:p w14:paraId="6F1A7D74">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二）国有资产盘亏、毁损以及非正常损失的情况说明，第三方机构出具的经济鉴证证明，国家有关技术鉴定部门或者具有技术鉴定资格的第三方机构出具的技术鉴定证明（涉及保险索赔的应当有保险公司理赔情况说明），赔偿责任认定说明和单位内部核批文件；</w:t>
      </w:r>
    </w:p>
    <w:p w14:paraId="4AC5BEA8">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（三）国有资产被盗的，需要提供公安机关出具的结案证明；</w:t>
      </w:r>
    </w:p>
    <w:p w14:paraId="427C1621">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（四）因不可抗力因素（自然灾害、意外事故）造成国有资产毁损的，需要提供相关部门出具的受灾证明、事故处理报告、</w:t>
      </w:r>
      <w:r>
        <w:rPr>
          <w:rFonts w:hint="default" w:ascii="Times New Roman" w:hAnsi="Times New Roman" w:eastAsia="仿宋_GB2312" w:cs="Times New Roman"/>
          <w:color w:val="auto"/>
          <w:kern w:val="0"/>
          <w:sz w:val="32"/>
          <w:szCs w:val="32"/>
          <w:highlight w:val="none"/>
          <w:u w:val="none"/>
          <w:lang w:eastAsia="zh-CN"/>
        </w:rPr>
        <w:t>涉及债务追偿的证明、</w:t>
      </w:r>
      <w:r>
        <w:rPr>
          <w:rFonts w:hint="default" w:ascii="Times New Roman" w:hAnsi="Times New Roman" w:eastAsia="仿宋_GB2312" w:cs="Times New Roman"/>
          <w:color w:val="auto"/>
          <w:kern w:val="0"/>
          <w:sz w:val="32"/>
          <w:szCs w:val="32"/>
          <w:highlight w:val="none"/>
          <w:u w:val="none"/>
        </w:rPr>
        <w:t>车辆报损证明、房屋拆除证明等；</w:t>
      </w:r>
    </w:p>
    <w:p w14:paraId="752D812A">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（五）其他相关材料。</w:t>
      </w:r>
    </w:p>
    <w:p w14:paraId="69EFEE8A">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b/>
          <w:bCs/>
          <w:color w:val="auto"/>
          <w:kern w:val="0"/>
          <w:sz w:val="32"/>
          <w:szCs w:val="32"/>
          <w:highlight w:val="none"/>
          <w:u w:val="none"/>
        </w:rPr>
        <w:t>第</w:t>
      </w:r>
      <w:r>
        <w:rPr>
          <w:rFonts w:hint="default" w:ascii="Times New Roman" w:hAnsi="Times New Roman" w:eastAsia="仿宋_GB2312" w:cs="Times New Roman"/>
          <w:b/>
          <w:bCs/>
          <w:color w:val="auto"/>
          <w:kern w:val="0"/>
          <w:sz w:val="32"/>
          <w:szCs w:val="32"/>
          <w:highlight w:val="none"/>
          <w:u w:val="none"/>
          <w:lang w:val="en-US" w:eastAsia="zh-CN"/>
        </w:rPr>
        <w:t>七十</w:t>
      </w:r>
      <w:r>
        <w:rPr>
          <w:rFonts w:hint="default" w:ascii="Times New Roman" w:hAnsi="Times New Roman" w:eastAsia="仿宋_GB2312" w:cs="Times New Roman"/>
          <w:b/>
          <w:bCs/>
          <w:color w:val="auto"/>
          <w:kern w:val="0"/>
          <w:sz w:val="32"/>
          <w:szCs w:val="32"/>
          <w:highlight w:val="none"/>
          <w:u w:val="none"/>
          <w:lang w:eastAsia="zh-CN"/>
        </w:rPr>
        <w:t>条</w:t>
      </w:r>
      <w:r>
        <w:rPr>
          <w:rFonts w:hint="default" w:ascii="Times New Roman" w:hAnsi="Times New Roman" w:eastAsia="仿宋_GB2312" w:cs="Times New Roman"/>
          <w:b/>
          <w:bCs/>
          <w:color w:val="auto"/>
          <w:kern w:val="0"/>
          <w:sz w:val="32"/>
          <w:szCs w:val="32"/>
          <w:highlight w:val="none"/>
          <w:u w:val="none"/>
          <w:lang w:val="en-US" w:eastAsia="zh-CN"/>
        </w:rPr>
        <w:t xml:space="preserve"> </w:t>
      </w:r>
      <w:r>
        <w:rPr>
          <w:rFonts w:hint="default" w:ascii="Times New Roman" w:hAnsi="Times New Roman" w:eastAsia="仿宋_GB2312" w:cs="Times New Roman"/>
          <w:b w:val="0"/>
          <w:bCs w:val="0"/>
          <w:color w:val="auto"/>
          <w:kern w:val="0"/>
          <w:sz w:val="32"/>
          <w:szCs w:val="32"/>
          <w:highlight w:val="none"/>
          <w:u w:val="none"/>
          <w:lang w:eastAsia="zh-CN"/>
        </w:rPr>
        <w:t>市直</w:t>
      </w:r>
      <w:r>
        <w:rPr>
          <w:rFonts w:hint="default" w:ascii="Times New Roman" w:hAnsi="Times New Roman" w:eastAsia="仿宋_GB2312" w:cs="Times New Roman"/>
          <w:b w:val="0"/>
          <w:bCs w:val="0"/>
          <w:color w:val="auto"/>
          <w:kern w:val="0"/>
          <w:sz w:val="32"/>
          <w:szCs w:val="32"/>
          <w:highlight w:val="none"/>
          <w:u w:val="none"/>
        </w:rPr>
        <w:t>行</w:t>
      </w:r>
      <w:r>
        <w:rPr>
          <w:rFonts w:hint="default" w:ascii="Times New Roman" w:hAnsi="Times New Roman" w:eastAsia="仿宋_GB2312" w:cs="Times New Roman"/>
          <w:color w:val="auto"/>
          <w:kern w:val="0"/>
          <w:sz w:val="32"/>
          <w:szCs w:val="32"/>
          <w:highlight w:val="none"/>
          <w:u w:val="none"/>
        </w:rPr>
        <w:t>政事业单位申请对外投资、担保（抵押）资产的损失核销，应当提交以下材料：</w:t>
      </w:r>
    </w:p>
    <w:p w14:paraId="400CC22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lang w:val="en-US" w:eastAsia="zh-CN"/>
        </w:rPr>
      </w:pPr>
      <w:r>
        <w:rPr>
          <w:rFonts w:hint="default" w:ascii="Times New Roman" w:hAnsi="Times New Roman" w:eastAsia="仿宋_GB2312" w:cs="Times New Roman"/>
          <w:color w:val="auto"/>
          <w:kern w:val="0"/>
          <w:sz w:val="32"/>
          <w:szCs w:val="32"/>
          <w:highlight w:val="none"/>
          <w:u w:val="none"/>
          <w:lang w:eastAsia="zh-CN"/>
        </w:rPr>
        <w:t>（一）</w:t>
      </w:r>
      <w:r>
        <w:rPr>
          <w:rFonts w:hint="default" w:ascii="Times New Roman" w:hAnsi="Times New Roman" w:eastAsia="仿宋_GB2312" w:cs="Times New Roman"/>
          <w:color w:val="auto"/>
          <w:kern w:val="0"/>
          <w:sz w:val="32"/>
          <w:szCs w:val="32"/>
          <w:highlight w:val="none"/>
          <w:u w:val="none"/>
        </w:rPr>
        <w:t>申请文件及单位内部决策文件</w:t>
      </w:r>
      <w:r>
        <w:rPr>
          <w:rFonts w:hint="default" w:ascii="Times New Roman" w:hAnsi="Times New Roman" w:eastAsia="仿宋_GB2312" w:cs="Times New Roman"/>
          <w:color w:val="auto"/>
          <w:kern w:val="0"/>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rPr>
        <w:t>国有资产价值凭证及产权证明</w:t>
      </w:r>
      <w:r>
        <w:rPr>
          <w:rFonts w:hint="default" w:ascii="Times New Roman" w:hAnsi="Times New Roman" w:eastAsia="仿宋_GB2312" w:cs="Times New Roman"/>
          <w:color w:val="auto"/>
          <w:kern w:val="0"/>
          <w:sz w:val="32"/>
          <w:szCs w:val="32"/>
          <w:highlight w:val="none"/>
          <w:u w:val="none"/>
          <w:lang w:eastAsia="zh-CN"/>
        </w:rPr>
        <w:t>、</w:t>
      </w:r>
      <w:r>
        <w:rPr>
          <w:rFonts w:hint="default" w:ascii="Times New Roman" w:hAnsi="Times New Roman" w:eastAsia="仿宋_GB2312" w:cs="Times New Roman"/>
          <w:color w:val="auto"/>
          <w:kern w:val="0"/>
          <w:sz w:val="32"/>
          <w:szCs w:val="32"/>
          <w:highlight w:val="none"/>
          <w:u w:val="none"/>
        </w:rPr>
        <w:t>《</w:t>
      </w:r>
      <w:r>
        <w:rPr>
          <w:rFonts w:hint="default" w:ascii="Times New Roman" w:hAnsi="Times New Roman" w:eastAsia="仿宋_GB2312" w:cs="Times New Roman"/>
          <w:color w:val="auto"/>
          <w:kern w:val="0"/>
          <w:sz w:val="32"/>
          <w:szCs w:val="32"/>
          <w:highlight w:val="none"/>
          <w:u w:val="none"/>
          <w:lang w:eastAsia="zh-CN"/>
        </w:rPr>
        <w:t>咸宁市市直</w:t>
      </w:r>
      <w:r>
        <w:rPr>
          <w:rFonts w:hint="default" w:ascii="Times New Roman" w:hAnsi="Times New Roman" w:eastAsia="仿宋_GB2312" w:cs="Times New Roman"/>
          <w:color w:val="auto"/>
          <w:kern w:val="0"/>
          <w:sz w:val="32"/>
          <w:szCs w:val="32"/>
          <w:highlight w:val="none"/>
          <w:u w:val="none"/>
        </w:rPr>
        <w:t>行政事业单位国有资产</w:t>
      </w:r>
      <w:r>
        <w:rPr>
          <w:rFonts w:hint="default" w:ascii="Times New Roman" w:hAnsi="Times New Roman" w:eastAsia="仿宋_GB2312" w:cs="Times New Roman"/>
          <w:color w:val="auto"/>
          <w:kern w:val="0"/>
          <w:sz w:val="32"/>
          <w:szCs w:val="32"/>
          <w:highlight w:val="none"/>
          <w:u w:val="none"/>
          <w:lang w:eastAsia="zh-CN"/>
        </w:rPr>
        <w:t>转让等</w:t>
      </w:r>
      <w:r>
        <w:rPr>
          <w:rFonts w:hint="default" w:ascii="Times New Roman" w:hAnsi="Times New Roman" w:eastAsia="仿宋_GB2312" w:cs="Times New Roman"/>
          <w:color w:val="auto"/>
          <w:kern w:val="0"/>
          <w:sz w:val="32"/>
          <w:szCs w:val="32"/>
          <w:highlight w:val="none"/>
          <w:u w:val="none"/>
        </w:rPr>
        <w:t>申请表》</w:t>
      </w:r>
      <w:r>
        <w:rPr>
          <w:rFonts w:hint="default" w:ascii="Times New Roman" w:hAnsi="Times New Roman" w:eastAsia="仿宋_GB2312" w:cs="Times New Roman"/>
          <w:color w:val="auto"/>
          <w:kern w:val="0"/>
          <w:sz w:val="32"/>
          <w:szCs w:val="32"/>
          <w:highlight w:val="none"/>
          <w:u w:val="none"/>
          <w:lang w:eastAsia="zh-CN"/>
        </w:rPr>
        <w:t>；</w:t>
      </w:r>
    </w:p>
    <w:p w14:paraId="4523894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（二）形成对外投资、担保（抵押）的审批文件，形成损失的情况说明、被投资单位的清算审计报告及注销文件、第三方机构出具的经济鉴证证明和具有法律效力的证明材料；</w:t>
      </w:r>
    </w:p>
    <w:p w14:paraId="76076C62">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（三）涉及仲裁或者提起诉讼的，提交仲裁决定或者法院判决等相关法律文书；</w:t>
      </w:r>
    </w:p>
    <w:p w14:paraId="6936DD25">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rPr>
      </w:pPr>
      <w:r>
        <w:rPr>
          <w:rFonts w:hint="default" w:ascii="Times New Roman" w:hAnsi="Times New Roman" w:eastAsia="仿宋_GB2312" w:cs="Times New Roman"/>
          <w:color w:val="auto"/>
          <w:kern w:val="0"/>
          <w:sz w:val="32"/>
          <w:szCs w:val="32"/>
          <w:highlight w:val="none"/>
          <w:u w:val="none"/>
        </w:rPr>
        <w:t>（四）其他相关材料。</w:t>
      </w:r>
    </w:p>
    <w:p w14:paraId="0AAFF696">
      <w:pPr>
        <w:keepNext w:val="0"/>
        <w:keepLines w:val="0"/>
        <w:pageBreakBefore w:val="0"/>
        <w:widowControl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i w:val="0"/>
          <w:caps w:val="0"/>
          <w:color w:val="auto"/>
          <w:spacing w:val="0"/>
          <w:kern w:val="0"/>
          <w:sz w:val="32"/>
          <w:szCs w:val="32"/>
          <w:highlight w:val="none"/>
          <w:shd w:val="clear" w:color="auto" w:fill="FFFFFF"/>
          <w:lang w:eastAsia="zh-CN"/>
        </w:rPr>
      </w:pPr>
      <w:r>
        <w:rPr>
          <w:rFonts w:hint="default" w:ascii="Times New Roman" w:hAnsi="Times New Roman" w:eastAsia="仿宋_GB2312" w:cs="Times New Roman"/>
          <w:b/>
          <w:bCs/>
          <w:color w:val="auto"/>
          <w:kern w:val="0"/>
          <w:sz w:val="32"/>
          <w:szCs w:val="32"/>
          <w:highlight w:val="none"/>
          <w:u w:val="none"/>
          <w:lang w:val="en-US" w:eastAsia="zh-CN" w:bidi="ar-SA"/>
        </w:rPr>
        <w:t xml:space="preserve">第七十一条 </w:t>
      </w:r>
      <w:r>
        <w:rPr>
          <w:rFonts w:hint="default" w:ascii="Times New Roman" w:hAnsi="Times New Roman" w:eastAsia="仿宋_GB2312" w:cs="Times New Roman"/>
          <w:color w:val="auto"/>
          <w:kern w:val="0"/>
          <w:sz w:val="32"/>
          <w:szCs w:val="32"/>
          <w:highlight w:val="none"/>
          <w:u w:val="none"/>
          <w:lang w:val="en-US" w:eastAsia="zh-CN" w:bidi="ar-SA"/>
        </w:rPr>
        <w:t>各单位应当对经批准核销的国有资产损失进行专项备查登记，实行“账销案存”</w:t>
      </w:r>
      <w:r>
        <w:rPr>
          <w:rFonts w:hint="default" w:ascii="Times New Roman" w:hAnsi="Times New Roman" w:eastAsia="仿宋_GB2312" w:cs="Times New Roman"/>
          <w:i w:val="0"/>
          <w:caps w:val="0"/>
          <w:color w:val="auto"/>
          <w:spacing w:val="0"/>
          <w:kern w:val="0"/>
          <w:sz w:val="32"/>
          <w:szCs w:val="32"/>
          <w:highlight w:val="none"/>
          <w:u w:val="none"/>
          <w:shd w:val="clear" w:color="auto" w:fill="FFFFFF"/>
        </w:rPr>
        <w:t>的方式</w:t>
      </w:r>
      <w:r>
        <w:rPr>
          <w:rFonts w:hint="default" w:ascii="Times New Roman" w:hAnsi="Times New Roman" w:eastAsia="仿宋_GB2312" w:cs="Times New Roman"/>
          <w:color w:val="auto"/>
          <w:kern w:val="0"/>
          <w:sz w:val="32"/>
          <w:szCs w:val="32"/>
          <w:highlight w:val="none"/>
          <w:u w:val="none"/>
          <w:lang w:val="en-US" w:eastAsia="zh-CN" w:bidi="ar-SA"/>
        </w:rPr>
        <w:t>管理，</w:t>
      </w:r>
      <w:r>
        <w:rPr>
          <w:rFonts w:hint="default" w:ascii="Times New Roman" w:hAnsi="Times New Roman" w:eastAsia="仿宋_GB2312" w:cs="Times New Roman"/>
          <w:i w:val="0"/>
          <w:caps w:val="0"/>
          <w:color w:val="auto"/>
          <w:spacing w:val="0"/>
          <w:kern w:val="0"/>
          <w:sz w:val="32"/>
          <w:szCs w:val="32"/>
          <w:highlight w:val="none"/>
          <w:shd w:val="clear" w:color="auto" w:fill="FFFFFF"/>
        </w:rPr>
        <w:t>对已批准核销的资产损失，单位仍有追偿的权利和义务，对“账销案存”资产清理和追索收回的资产，应当及时入账</w:t>
      </w:r>
      <w:r>
        <w:rPr>
          <w:rFonts w:hint="default" w:ascii="Times New Roman" w:hAnsi="Times New Roman" w:eastAsia="仿宋_GB2312" w:cs="Times New Roman"/>
          <w:i w:val="0"/>
          <w:caps w:val="0"/>
          <w:color w:val="auto"/>
          <w:spacing w:val="0"/>
          <w:kern w:val="0"/>
          <w:sz w:val="32"/>
          <w:szCs w:val="32"/>
          <w:highlight w:val="none"/>
          <w:shd w:val="clear" w:color="auto" w:fill="FFFFFF"/>
          <w:lang w:eastAsia="zh-CN"/>
        </w:rPr>
        <w:t>。</w:t>
      </w:r>
    </w:p>
    <w:p w14:paraId="370EBDC3">
      <w:pPr>
        <w:pStyle w:val="2"/>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default"/>
          <w:lang w:eastAsia="zh-CN"/>
        </w:rPr>
      </w:pPr>
    </w:p>
    <w:p w14:paraId="5391ABB6">
      <w:pPr>
        <w:keepNext w:val="0"/>
        <w:keepLines w:val="0"/>
        <w:pageBreakBefore w:val="0"/>
        <w:widowControl w:val="0"/>
        <w:suppressLineNumbers w:val="0"/>
        <w:kinsoku/>
        <w:wordWrap/>
        <w:overflowPunct/>
        <w:topLinePunct w:val="0"/>
        <w:autoSpaceDE/>
        <w:autoSpaceDN/>
        <w:bidi w:val="0"/>
        <w:adjustRightInd/>
        <w:snapToGrid/>
        <w:spacing w:before="0" w:after="0" w:line="600" w:lineRule="exact"/>
        <w:ind w:left="0" w:leftChars="0" w:right="0" w:rightChars="0"/>
        <w:jc w:val="center"/>
        <w:textAlignment w:val="auto"/>
        <w:outlineLvl w:val="9"/>
        <w:rPr>
          <w:rFonts w:hint="default"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pPr>
      <w:r>
        <w:rPr>
          <w:rFonts w:hint="default"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t>第</w:t>
      </w:r>
      <w:r>
        <w:rPr>
          <w:rFonts w:hint="eastAsia"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t>五</w:t>
      </w:r>
      <w:r>
        <w:rPr>
          <w:rFonts w:hint="default"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t>章</w:t>
      </w:r>
      <w:r>
        <w:rPr>
          <w:rFonts w:hint="eastAsia"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t xml:space="preserve"> </w:t>
      </w:r>
      <w:r>
        <w:rPr>
          <w:rFonts w:hint="default"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t>国有资产使用和处置收入</w:t>
      </w:r>
    </w:p>
    <w:p w14:paraId="5750E174">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kern w:val="0"/>
          <w:sz w:val="32"/>
          <w:szCs w:val="32"/>
          <w:highlight w:val="none"/>
          <w:lang w:val="en" w:eastAsia="zh-CN" w:bidi="ar"/>
        </w:rPr>
      </w:pPr>
      <w:r>
        <w:rPr>
          <w:rFonts w:hint="default" w:ascii="Times New Roman" w:hAnsi="Times New Roman" w:eastAsia="仿宋_GB2312" w:cs="Times New Roman"/>
          <w:b/>
          <w:bCs/>
          <w:color w:val="auto"/>
          <w:kern w:val="0"/>
          <w:sz w:val="32"/>
          <w:szCs w:val="32"/>
          <w:highlight w:val="none"/>
        </w:rPr>
        <w:t>第</w:t>
      </w:r>
      <w:r>
        <w:rPr>
          <w:rFonts w:hint="default" w:ascii="Times New Roman" w:hAnsi="Times New Roman" w:eastAsia="仿宋_GB2312" w:cs="Times New Roman"/>
          <w:b/>
          <w:bCs/>
          <w:color w:val="auto"/>
          <w:kern w:val="0"/>
          <w:sz w:val="32"/>
          <w:szCs w:val="32"/>
          <w:highlight w:val="none"/>
          <w:lang w:val="en-US" w:eastAsia="zh-CN"/>
        </w:rPr>
        <w:t>七十二</w:t>
      </w:r>
      <w:r>
        <w:rPr>
          <w:rFonts w:hint="default" w:ascii="Times New Roman" w:hAnsi="Times New Roman" w:eastAsia="仿宋_GB2312" w:cs="Times New Roman"/>
          <w:b/>
          <w:bCs/>
          <w:color w:val="auto"/>
          <w:kern w:val="0"/>
          <w:sz w:val="32"/>
          <w:szCs w:val="32"/>
          <w:highlight w:val="none"/>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lang w:eastAsia="zh-CN"/>
        </w:rPr>
        <w:t>行政事业</w:t>
      </w:r>
      <w:r>
        <w:rPr>
          <w:rFonts w:hint="default" w:ascii="Times New Roman" w:hAnsi="Times New Roman" w:eastAsia="仿宋_GB2312" w:cs="Times New Roman"/>
          <w:b w:val="0"/>
          <w:bCs/>
          <w:color w:val="auto"/>
          <w:kern w:val="0"/>
          <w:sz w:val="32"/>
          <w:szCs w:val="32"/>
          <w:highlight w:val="none"/>
          <w:lang w:val="en" w:eastAsia="zh-CN" w:bidi="ar"/>
        </w:rPr>
        <w:t>单位国有资产使用收入，包括资产出租收入、对外投资收益、共享共用取得的补偿收入，以及其他有偿使用方式取得的收入等。</w:t>
      </w:r>
    </w:p>
    <w:p w14:paraId="589F3404">
      <w:pPr>
        <w:pStyle w:val="1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资产处置收入是指在转让、置换、报废等处置国有资产过程中获得的收入，包括转让资产收入、置换差价收入、拆迁补偿收入、报废报损残值变价收入、保险理赔收入、转让土地使用权收益</w:t>
      </w:r>
      <w:r>
        <w:rPr>
          <w:rFonts w:hint="default" w:ascii="Times New Roman" w:hAnsi="Times New Roman" w:eastAsia="仿宋_GB2312" w:cs="Times New Roman"/>
          <w:color w:val="auto"/>
          <w:kern w:val="0"/>
          <w:sz w:val="32"/>
          <w:szCs w:val="32"/>
          <w:highlight w:val="none"/>
          <w:u w:val="none"/>
          <w:lang w:val="en-US" w:eastAsia="zh-CN" w:bidi="ar-SA"/>
        </w:rPr>
        <w:t>、所办一级企业的清算收入</w:t>
      </w:r>
      <w:r>
        <w:rPr>
          <w:rFonts w:hint="default" w:ascii="Times New Roman" w:hAnsi="Times New Roman" w:eastAsia="仿宋_GB2312" w:cs="Times New Roman"/>
          <w:color w:val="auto"/>
          <w:kern w:val="0"/>
          <w:sz w:val="32"/>
          <w:szCs w:val="32"/>
          <w:highlight w:val="none"/>
        </w:rPr>
        <w:t>等。</w:t>
      </w:r>
    </w:p>
    <w:p w14:paraId="2BD27CF0">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kern w:val="0"/>
          <w:sz w:val="32"/>
          <w:szCs w:val="32"/>
          <w:highlight w:val="none"/>
        </w:rPr>
        <w:t>第</w:t>
      </w:r>
      <w:r>
        <w:rPr>
          <w:rFonts w:hint="default" w:ascii="Times New Roman" w:hAnsi="Times New Roman" w:eastAsia="仿宋_GB2312" w:cs="Times New Roman"/>
          <w:b/>
          <w:bCs/>
          <w:color w:val="auto"/>
          <w:kern w:val="0"/>
          <w:sz w:val="32"/>
          <w:szCs w:val="32"/>
          <w:highlight w:val="none"/>
          <w:lang w:val="en-US" w:eastAsia="zh-CN"/>
        </w:rPr>
        <w:t>七十三</w:t>
      </w:r>
      <w:r>
        <w:rPr>
          <w:rFonts w:hint="default" w:ascii="Times New Roman" w:hAnsi="Times New Roman" w:eastAsia="仿宋_GB2312" w:cs="Times New Roman"/>
          <w:b/>
          <w:bCs/>
          <w:color w:val="auto"/>
          <w:kern w:val="0"/>
          <w:sz w:val="32"/>
          <w:szCs w:val="32"/>
          <w:highlight w:val="none"/>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lang w:val="en-US" w:eastAsia="zh-CN"/>
        </w:rPr>
        <w:t>除国家、省、市另有规定外，各单位资产使用、处置收入，在扣除</w:t>
      </w:r>
      <w:r>
        <w:rPr>
          <w:rFonts w:hint="default" w:ascii="Times New Roman" w:hAnsi="Times New Roman" w:eastAsia="仿宋_GB2312" w:cs="Times New Roman"/>
          <w:color w:val="auto"/>
          <w:kern w:val="0"/>
          <w:sz w:val="32"/>
          <w:szCs w:val="32"/>
          <w:highlight w:val="none"/>
        </w:rPr>
        <w:t>相关税金、资产评估费、拍卖佣金等费用后</w:t>
      </w:r>
      <w:r>
        <w:rPr>
          <w:rFonts w:hint="default" w:ascii="Times New Roman" w:hAnsi="Times New Roman" w:eastAsia="仿宋_GB2312" w:cs="Times New Roman"/>
          <w:color w:val="auto"/>
          <w:kern w:val="0"/>
          <w:sz w:val="32"/>
          <w:szCs w:val="32"/>
          <w:highlight w:val="none"/>
          <w:lang w:val="en-US" w:eastAsia="zh-CN"/>
        </w:rPr>
        <w:t>，按照政府非税收入和国库集中收缴管理有关规定及时上缴同级国库。科研机构、高等院校、</w:t>
      </w:r>
      <w:r>
        <w:rPr>
          <w:rFonts w:hint="default" w:ascii="Times New Roman" w:hAnsi="Times New Roman" w:eastAsia="仿宋_GB2312" w:cs="Times New Roman"/>
          <w:color w:val="auto"/>
          <w:kern w:val="0"/>
          <w:sz w:val="32"/>
          <w:szCs w:val="32"/>
          <w:highlight w:val="none"/>
          <w:u w:val="none"/>
          <w:lang w:eastAsia="zh-CN"/>
        </w:rPr>
        <w:t>医疗卫生机构</w:t>
      </w:r>
      <w:r>
        <w:rPr>
          <w:rFonts w:hint="default" w:ascii="Times New Roman" w:hAnsi="Times New Roman" w:eastAsia="仿宋_GB2312" w:cs="Times New Roman"/>
          <w:color w:val="auto"/>
          <w:kern w:val="0"/>
          <w:sz w:val="32"/>
          <w:szCs w:val="32"/>
          <w:highlight w:val="none"/>
          <w:lang w:val="en-US" w:eastAsia="zh-CN"/>
        </w:rPr>
        <w:t>转化科技成果所获得收入</w:t>
      </w:r>
      <w:r>
        <w:rPr>
          <w:rFonts w:hint="default" w:ascii="Times New Roman" w:hAnsi="Times New Roman" w:eastAsia="仿宋_GB2312" w:cs="Times New Roman"/>
          <w:color w:val="auto"/>
          <w:sz w:val="32"/>
          <w:szCs w:val="32"/>
          <w:highlight w:val="none"/>
          <w:u w:val="none"/>
          <w:lang w:eastAsia="zh-CN"/>
        </w:rPr>
        <w:t>以及</w:t>
      </w:r>
      <w:r>
        <w:rPr>
          <w:rFonts w:hint="default" w:ascii="Times New Roman" w:hAnsi="Times New Roman" w:eastAsia="仿宋_GB2312" w:cs="Times New Roman"/>
          <w:b w:val="0"/>
          <w:bCs/>
          <w:color w:val="auto"/>
          <w:kern w:val="0"/>
          <w:sz w:val="32"/>
          <w:szCs w:val="32"/>
          <w:highlight w:val="none"/>
          <w:u w:val="none"/>
          <w:lang w:val="en" w:eastAsia="zh-CN" w:bidi="ar"/>
        </w:rPr>
        <w:t>共享共用取得的补偿收入</w:t>
      </w:r>
      <w:r>
        <w:rPr>
          <w:rFonts w:hint="default" w:ascii="Times New Roman" w:hAnsi="Times New Roman" w:eastAsia="仿宋_GB2312" w:cs="Times New Roman"/>
          <w:color w:val="auto"/>
          <w:sz w:val="32"/>
          <w:szCs w:val="32"/>
          <w:highlight w:val="none"/>
          <w:u w:val="none"/>
          <w:lang w:eastAsia="zh-CN"/>
        </w:rPr>
        <w:t>按照规定留归本单位的，纳入单位预算，统一核算、统一管理。</w:t>
      </w:r>
    </w:p>
    <w:p w14:paraId="000D2AED">
      <w:pPr>
        <w:pStyle w:val="6"/>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sz w:val="32"/>
          <w:szCs w:val="32"/>
          <w:highlight w:val="none"/>
          <w:lang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eastAsia="zh-CN"/>
        </w:rPr>
        <w:t>七十四</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val="0"/>
          <w:bCs/>
          <w:color w:val="auto"/>
          <w:sz w:val="32"/>
          <w:szCs w:val="32"/>
          <w:highlight w:val="none"/>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rPr>
        <w:t>行政事业单位应当及时收取资产使用</w:t>
      </w:r>
      <w:r>
        <w:rPr>
          <w:rFonts w:hint="default" w:ascii="Times New Roman" w:hAnsi="Times New Roman" w:eastAsia="仿宋_GB2312" w:cs="Times New Roman"/>
          <w:b w:val="0"/>
          <w:bCs/>
          <w:color w:val="auto"/>
          <w:sz w:val="32"/>
          <w:szCs w:val="32"/>
          <w:highlight w:val="none"/>
          <w:lang w:eastAsia="zh-CN"/>
        </w:rPr>
        <w:t>、处置</w:t>
      </w:r>
      <w:r>
        <w:rPr>
          <w:rFonts w:hint="default" w:ascii="Times New Roman" w:hAnsi="Times New Roman" w:eastAsia="仿宋_GB2312" w:cs="Times New Roman"/>
          <w:b w:val="0"/>
          <w:bCs/>
          <w:color w:val="auto"/>
          <w:sz w:val="32"/>
          <w:szCs w:val="32"/>
          <w:highlight w:val="none"/>
        </w:rPr>
        <w:t>收入，不得违反国家规定多收、少收、不收、侵占、私分、截留、占用、挪用、隐匿、坐支。</w:t>
      </w:r>
    </w:p>
    <w:p w14:paraId="18AEB048">
      <w:pPr>
        <w:keepNext w:val="0"/>
        <w:keepLines w:val="0"/>
        <w:pageBreakBefore w:val="0"/>
        <w:widowControl w:val="0"/>
        <w:kinsoku/>
        <w:wordWrap/>
        <w:overflowPunct/>
        <w:topLinePunct w:val="0"/>
        <w:autoSpaceDE/>
        <w:autoSpaceDN/>
        <w:bidi w:val="0"/>
        <w:adjustRightInd/>
        <w:snapToGrid/>
        <w:spacing w:before="0" w:after="0" w:line="600" w:lineRule="exact"/>
        <w:ind w:left="0" w:leftChars="0" w:right="0" w:rightChars="0" w:firstLine="643" w:firstLineChars="200"/>
        <w:jc w:val="both"/>
        <w:textAlignment w:val="auto"/>
        <w:outlineLvl w:val="9"/>
        <w:rPr>
          <w:rFonts w:hint="default"/>
        </w:rPr>
      </w:pPr>
      <w:r>
        <w:rPr>
          <w:rFonts w:hint="default" w:ascii="Times New Roman" w:hAnsi="Times New Roman" w:eastAsia="仿宋_GB2312" w:cs="Times New Roman"/>
          <w:b/>
          <w:bCs/>
          <w:color w:val="auto"/>
          <w:sz w:val="32"/>
          <w:szCs w:val="32"/>
          <w:highlight w:val="none"/>
        </w:rPr>
        <w:t>第</w:t>
      </w:r>
      <w:r>
        <w:rPr>
          <w:rFonts w:hint="default" w:ascii="Times New Roman" w:hAnsi="Times New Roman" w:eastAsia="仿宋_GB2312" w:cs="Times New Roman"/>
          <w:b/>
          <w:bCs w:val="0"/>
          <w:color w:val="auto"/>
          <w:kern w:val="2"/>
          <w:sz w:val="32"/>
          <w:szCs w:val="32"/>
          <w:highlight w:val="none"/>
          <w:lang w:val="en-US" w:eastAsia="zh-CN" w:bidi="ar-SA"/>
        </w:rPr>
        <w:t>七十五条</w:t>
      </w:r>
      <w:r>
        <w:rPr>
          <w:rFonts w:hint="default" w:ascii="Times New Roman" w:hAnsi="Times New Roman" w:eastAsia="仿宋_GB2312" w:cs="Times New Roman"/>
          <w:color w:val="auto"/>
          <w:kern w:val="0"/>
          <w:sz w:val="32"/>
          <w:szCs w:val="32"/>
          <w:highlight w:val="none"/>
        </w:rPr>
        <w:t xml:space="preserve"> </w:t>
      </w:r>
      <w:r>
        <w:rPr>
          <w:rFonts w:hint="default" w:ascii="Times New Roman" w:hAnsi="Times New Roman" w:eastAsia="仿宋_GB2312" w:cs="Times New Roman"/>
          <w:color w:val="auto"/>
          <w:kern w:val="0"/>
          <w:sz w:val="32"/>
          <w:szCs w:val="32"/>
          <w:highlight w:val="none"/>
          <w:lang w:eastAsia="zh-CN"/>
        </w:rPr>
        <w:t>市直</w:t>
      </w:r>
      <w:r>
        <w:rPr>
          <w:rFonts w:hint="default" w:ascii="Times New Roman" w:hAnsi="Times New Roman" w:eastAsia="仿宋_GB2312" w:cs="Times New Roman"/>
          <w:color w:val="auto"/>
          <w:kern w:val="0"/>
          <w:sz w:val="32"/>
          <w:szCs w:val="32"/>
          <w:highlight w:val="none"/>
        </w:rPr>
        <w:t>事业单位对外投资形成股权（权益）的处置收入，除按照国有资本经营预算有关规定应</w:t>
      </w:r>
      <w:r>
        <w:rPr>
          <w:rFonts w:hint="eastAsia" w:ascii="Times New Roman" w:hAnsi="Times New Roman" w:eastAsia="仿宋_GB2312" w:cs="Times New Roman"/>
          <w:color w:val="auto"/>
          <w:kern w:val="0"/>
          <w:sz w:val="32"/>
          <w:szCs w:val="32"/>
          <w:highlight w:val="none"/>
          <w:lang w:eastAsia="zh-CN"/>
        </w:rPr>
        <w:t>当</w:t>
      </w:r>
      <w:r>
        <w:rPr>
          <w:rFonts w:hint="default" w:ascii="Times New Roman" w:hAnsi="Times New Roman" w:eastAsia="仿宋_GB2312" w:cs="Times New Roman"/>
          <w:color w:val="auto"/>
          <w:kern w:val="0"/>
          <w:sz w:val="32"/>
          <w:szCs w:val="32"/>
          <w:highlight w:val="none"/>
        </w:rPr>
        <w:t>申报、上交的国有资本收益和另有规定外，按照政府非税收入和国库集中管理有关规定及时上缴国库。</w:t>
      </w:r>
    </w:p>
    <w:p w14:paraId="232737E6">
      <w:pPr>
        <w:pStyle w:val="9"/>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both"/>
        <w:textAlignment w:val="auto"/>
        <w:outlineLvl w:val="9"/>
        <w:rPr>
          <w:rFonts w:hint="default" w:ascii="Times New Roman" w:hAnsi="Times New Roman" w:eastAsia="仿宋_GB2312" w:cs="Times New Roman"/>
          <w:color w:val="auto"/>
          <w:sz w:val="32"/>
          <w:szCs w:val="32"/>
          <w:highlight w:val="none"/>
        </w:rPr>
      </w:pPr>
    </w:p>
    <w:p w14:paraId="7AD747C5">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pPr>
      <w:r>
        <w:rPr>
          <w:rFonts w:hint="eastAsia"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t xml:space="preserve">第六章 </w:t>
      </w:r>
      <w:r>
        <w:rPr>
          <w:rFonts w:hint="default"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t>监督检查</w:t>
      </w:r>
    </w:p>
    <w:p w14:paraId="455EFF04">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u w:val="single"/>
          <w:lang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eastAsia="zh-CN"/>
        </w:rPr>
        <w:t>七十六</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color w:val="auto"/>
          <w:sz w:val="32"/>
          <w:szCs w:val="32"/>
          <w:highlight w:val="none"/>
        </w:rPr>
        <w:t xml:space="preserve"> </w:t>
      </w:r>
      <w:r>
        <w:rPr>
          <w:rFonts w:hint="default" w:ascii="Times New Roman" w:hAnsi="Times New Roman" w:eastAsia="仿宋_GB2312" w:cs="Times New Roman"/>
          <w:b w:val="0"/>
          <w:bCs/>
          <w:color w:val="auto"/>
          <w:sz w:val="32"/>
          <w:szCs w:val="32"/>
          <w:highlight w:val="none"/>
          <w:u w:val="none"/>
          <w:lang w:eastAsia="zh-CN"/>
        </w:rPr>
        <w:t>市财政局、市</w:t>
      </w:r>
      <w:r>
        <w:rPr>
          <w:rFonts w:hint="eastAsia" w:ascii="Times New Roman" w:hAnsi="Times New Roman" w:eastAsia="仿宋_GB2312" w:cs="Times New Roman"/>
          <w:b w:val="0"/>
          <w:bCs/>
          <w:color w:val="auto"/>
          <w:sz w:val="32"/>
          <w:szCs w:val="32"/>
          <w:highlight w:val="none"/>
          <w:u w:val="none"/>
          <w:lang w:eastAsia="zh-CN"/>
        </w:rPr>
        <w:t>机关事务服务中心</w:t>
      </w:r>
      <w:r>
        <w:rPr>
          <w:rFonts w:hint="default" w:ascii="Times New Roman" w:hAnsi="Times New Roman" w:eastAsia="仿宋_GB2312" w:cs="Times New Roman"/>
          <w:color w:val="auto"/>
          <w:sz w:val="32"/>
          <w:szCs w:val="32"/>
          <w:highlight w:val="none"/>
          <w:u w:val="none"/>
          <w:lang w:eastAsia="zh-CN"/>
        </w:rPr>
        <w:t>可根据职责分工</w:t>
      </w:r>
      <w:r>
        <w:rPr>
          <w:rFonts w:hint="default" w:ascii="Times New Roman" w:hAnsi="Times New Roman" w:eastAsia="仿宋_GB2312" w:cs="Times New Roman"/>
          <w:color w:val="auto"/>
          <w:sz w:val="32"/>
          <w:szCs w:val="32"/>
          <w:highlight w:val="none"/>
          <w:u w:val="none"/>
        </w:rPr>
        <w:t>对</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color w:val="auto"/>
          <w:sz w:val="32"/>
          <w:szCs w:val="32"/>
          <w:highlight w:val="none"/>
          <w:lang w:eastAsia="zh-CN"/>
        </w:rPr>
        <w:t>行政事业</w:t>
      </w:r>
      <w:r>
        <w:rPr>
          <w:rFonts w:hint="default" w:ascii="Times New Roman" w:hAnsi="Times New Roman" w:eastAsia="仿宋_GB2312" w:cs="Times New Roman"/>
          <w:color w:val="auto"/>
          <w:sz w:val="32"/>
          <w:szCs w:val="32"/>
          <w:highlight w:val="none"/>
        </w:rPr>
        <w:t>单位资产使用</w:t>
      </w:r>
      <w:r>
        <w:rPr>
          <w:rFonts w:hint="default" w:ascii="Times New Roman" w:hAnsi="Times New Roman" w:eastAsia="仿宋_GB2312" w:cs="Times New Roman"/>
          <w:color w:val="auto"/>
          <w:sz w:val="32"/>
          <w:szCs w:val="32"/>
          <w:highlight w:val="none"/>
          <w:lang w:eastAsia="zh-CN"/>
        </w:rPr>
        <w:t>、处置情况进行</w:t>
      </w:r>
      <w:r>
        <w:rPr>
          <w:rFonts w:hint="default" w:ascii="Times New Roman" w:hAnsi="Times New Roman" w:eastAsia="仿宋_GB2312" w:cs="Times New Roman"/>
          <w:color w:val="auto"/>
          <w:sz w:val="32"/>
          <w:szCs w:val="32"/>
          <w:highlight w:val="none"/>
        </w:rPr>
        <w:t>监督检查。</w:t>
      </w:r>
    </w:p>
    <w:p w14:paraId="7888AC00">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eastAsia="zh-CN"/>
        </w:rPr>
        <w:t>各部门应当定期或者不定期对所属市直行政事业单位资产使用、处置情况进行监督检查，及时发现并纠正资产使用、处置管理中的问题。</w:t>
      </w:r>
    </w:p>
    <w:p w14:paraId="0314D55E">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各部门所属</w:t>
      </w:r>
      <w:r>
        <w:rPr>
          <w:rFonts w:hint="default" w:ascii="Times New Roman" w:hAnsi="Times New Roman" w:eastAsia="仿宋_GB2312" w:cs="Times New Roman"/>
          <w:color w:val="auto"/>
          <w:sz w:val="32"/>
          <w:szCs w:val="32"/>
          <w:highlight w:val="none"/>
        </w:rPr>
        <w:t>单位应当依法依规履行资产使用</w:t>
      </w:r>
      <w:r>
        <w:rPr>
          <w:rFonts w:hint="default" w:ascii="Times New Roman" w:hAnsi="Times New Roman" w:eastAsia="仿宋_GB2312" w:cs="Times New Roman"/>
          <w:color w:val="auto"/>
          <w:sz w:val="32"/>
          <w:szCs w:val="32"/>
          <w:highlight w:val="none"/>
          <w:lang w:eastAsia="zh-CN"/>
        </w:rPr>
        <w:t>、处置的具体</w:t>
      </w:r>
      <w:r>
        <w:rPr>
          <w:rFonts w:hint="default" w:ascii="Times New Roman" w:hAnsi="Times New Roman" w:eastAsia="仿宋_GB2312" w:cs="Times New Roman"/>
          <w:color w:val="auto"/>
          <w:sz w:val="32"/>
          <w:szCs w:val="32"/>
          <w:highlight w:val="none"/>
        </w:rPr>
        <w:t>管理职责，定期</w:t>
      </w:r>
      <w:r>
        <w:rPr>
          <w:rFonts w:hint="default" w:ascii="Times New Roman" w:hAnsi="Times New Roman" w:eastAsia="仿宋_GB2312" w:cs="Times New Roman"/>
          <w:color w:val="auto"/>
          <w:sz w:val="32"/>
          <w:szCs w:val="32"/>
          <w:highlight w:val="none"/>
          <w:lang w:eastAsia="zh-CN"/>
        </w:rPr>
        <w:t>向主管部门</w:t>
      </w:r>
      <w:r>
        <w:rPr>
          <w:rFonts w:hint="default" w:ascii="Times New Roman" w:hAnsi="Times New Roman" w:eastAsia="仿宋_GB2312" w:cs="Times New Roman"/>
          <w:color w:val="auto"/>
          <w:sz w:val="32"/>
          <w:szCs w:val="32"/>
          <w:highlight w:val="none"/>
        </w:rPr>
        <w:t>报告资产使用</w:t>
      </w:r>
      <w:r>
        <w:rPr>
          <w:rFonts w:hint="default" w:ascii="Times New Roman" w:hAnsi="Times New Roman" w:eastAsia="仿宋_GB2312" w:cs="Times New Roman"/>
          <w:color w:val="auto"/>
          <w:sz w:val="32"/>
          <w:szCs w:val="32"/>
          <w:highlight w:val="none"/>
          <w:lang w:eastAsia="zh-CN"/>
        </w:rPr>
        <w:t>、处置</w:t>
      </w:r>
      <w:r>
        <w:rPr>
          <w:rFonts w:hint="default" w:ascii="Times New Roman" w:hAnsi="Times New Roman" w:eastAsia="仿宋_GB2312" w:cs="Times New Roman"/>
          <w:color w:val="auto"/>
          <w:sz w:val="32"/>
          <w:szCs w:val="32"/>
          <w:highlight w:val="none"/>
        </w:rPr>
        <w:t>管理情况，加强内部监督，</w:t>
      </w:r>
      <w:r>
        <w:rPr>
          <w:rFonts w:hint="default" w:ascii="Times New Roman" w:hAnsi="Times New Roman" w:eastAsia="仿宋_GB2312" w:cs="Times New Roman"/>
          <w:b w:val="0"/>
          <w:bCs w:val="0"/>
          <w:color w:val="auto"/>
          <w:sz w:val="32"/>
          <w:szCs w:val="32"/>
          <w:highlight w:val="none"/>
          <w:lang w:eastAsia="zh-CN"/>
        </w:rPr>
        <w:t>及时发现并纠正资产使用、处置管理中的问题</w:t>
      </w:r>
      <w:r>
        <w:rPr>
          <w:rFonts w:hint="default" w:ascii="Times New Roman" w:hAnsi="Times New Roman" w:eastAsia="仿宋_GB2312" w:cs="Times New Roman"/>
          <w:color w:val="auto"/>
          <w:sz w:val="32"/>
          <w:szCs w:val="32"/>
          <w:highlight w:val="none"/>
        </w:rPr>
        <w:t>。</w:t>
      </w:r>
    </w:p>
    <w:p w14:paraId="237B82D9">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bCs/>
          <w:color w:val="auto"/>
          <w:sz w:val="32"/>
          <w:szCs w:val="32"/>
          <w:highlight w:val="none"/>
        </w:rPr>
        <w:t>第</w:t>
      </w:r>
      <w:r>
        <w:rPr>
          <w:rFonts w:hint="default" w:ascii="Times New Roman" w:hAnsi="Times New Roman" w:eastAsia="仿宋_GB2312" w:cs="Times New Roman"/>
          <w:b/>
          <w:bCs/>
          <w:color w:val="auto"/>
          <w:sz w:val="32"/>
          <w:szCs w:val="32"/>
          <w:highlight w:val="none"/>
          <w:lang w:eastAsia="zh-CN"/>
        </w:rPr>
        <w:t>七十七</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lang w:eastAsia="zh-CN"/>
        </w:rPr>
        <w:t>市直行政事业单位在国有</w:t>
      </w:r>
      <w:r>
        <w:rPr>
          <w:rFonts w:hint="default" w:ascii="Times New Roman" w:hAnsi="Times New Roman" w:eastAsia="仿宋_GB2312" w:cs="Times New Roman"/>
          <w:b w:val="0"/>
          <w:bCs w:val="0"/>
          <w:color w:val="auto"/>
          <w:sz w:val="32"/>
          <w:szCs w:val="32"/>
          <w:highlight w:val="none"/>
        </w:rPr>
        <w:t>资产使用过程中</w:t>
      </w:r>
      <w:r>
        <w:rPr>
          <w:rFonts w:hint="default" w:ascii="Times New Roman" w:hAnsi="Times New Roman" w:eastAsia="仿宋_GB2312" w:cs="Times New Roman"/>
          <w:b w:val="0"/>
          <w:bCs w:val="0"/>
          <w:color w:val="auto"/>
          <w:sz w:val="32"/>
          <w:szCs w:val="32"/>
          <w:highlight w:val="none"/>
          <w:lang w:eastAsia="zh-CN"/>
        </w:rPr>
        <w:t>有下列情形之一的，依法依规追究相关人员责任：</w:t>
      </w:r>
    </w:p>
    <w:p w14:paraId="4397DD0F">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（一）未按规定</w:t>
      </w:r>
      <w:r>
        <w:rPr>
          <w:rFonts w:hint="default" w:ascii="Times New Roman" w:hAnsi="Times New Roman" w:eastAsia="仿宋_GB2312" w:cs="Times New Roman"/>
          <w:b w:val="0"/>
          <w:bCs w:val="0"/>
          <w:color w:val="auto"/>
          <w:sz w:val="32"/>
          <w:szCs w:val="32"/>
          <w:highlight w:val="none"/>
          <w:lang w:eastAsia="zh-CN"/>
        </w:rPr>
        <w:t>履行集体决策或者审批程序</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超过规定权限或者对不符合规定的资产出租出借、对外投资等事项予以审批</w:t>
      </w:r>
      <w:r>
        <w:rPr>
          <w:rFonts w:hint="default" w:ascii="Times New Roman" w:hAnsi="Times New Roman" w:eastAsia="仿宋_GB2312" w:cs="Times New Roman"/>
          <w:b w:val="0"/>
          <w:bCs w:val="0"/>
          <w:color w:val="auto"/>
          <w:sz w:val="32"/>
          <w:szCs w:val="32"/>
          <w:highlight w:val="none"/>
        </w:rPr>
        <w:t>；</w:t>
      </w:r>
    </w:p>
    <w:p w14:paraId="1AFB440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（二）</w:t>
      </w:r>
      <w:r>
        <w:rPr>
          <w:rFonts w:hint="default" w:ascii="Times New Roman" w:hAnsi="Times New Roman" w:eastAsia="仿宋_GB2312" w:cs="Times New Roman"/>
          <w:b w:val="0"/>
          <w:bCs w:val="0"/>
          <w:color w:val="auto"/>
          <w:sz w:val="32"/>
          <w:szCs w:val="32"/>
          <w:highlight w:val="none"/>
          <w:lang w:eastAsia="zh-CN"/>
        </w:rPr>
        <w:t>未按照规定办理资产领用手续，违反规定将资产公物私用</w:t>
      </w:r>
      <w:r>
        <w:rPr>
          <w:rFonts w:hint="default" w:ascii="Times New Roman" w:hAnsi="Times New Roman" w:eastAsia="仿宋_GB2312" w:cs="Times New Roman"/>
          <w:b w:val="0"/>
          <w:bCs w:val="0"/>
          <w:color w:val="auto"/>
          <w:sz w:val="32"/>
          <w:szCs w:val="32"/>
          <w:highlight w:val="none"/>
        </w:rPr>
        <w:t>；</w:t>
      </w:r>
    </w:p>
    <w:p w14:paraId="18633ABF">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（三）</w:t>
      </w:r>
      <w:r>
        <w:rPr>
          <w:rFonts w:hint="default" w:ascii="Times New Roman" w:hAnsi="Times New Roman" w:eastAsia="仿宋_GB2312" w:cs="Times New Roman"/>
          <w:b w:val="0"/>
          <w:bCs w:val="0"/>
          <w:color w:val="auto"/>
          <w:sz w:val="32"/>
          <w:szCs w:val="32"/>
          <w:highlight w:val="none"/>
          <w:lang w:eastAsia="zh-CN"/>
        </w:rPr>
        <w:t>将已被依法查封冻结或者产权有争议、未取得其他共有人同意的资产出租出借</w:t>
      </w:r>
      <w:r>
        <w:rPr>
          <w:rFonts w:hint="default" w:ascii="Times New Roman" w:hAnsi="Times New Roman" w:eastAsia="仿宋_GB2312" w:cs="Times New Roman"/>
          <w:b w:val="0"/>
          <w:bCs w:val="0"/>
          <w:color w:val="auto"/>
          <w:sz w:val="32"/>
          <w:szCs w:val="32"/>
          <w:highlight w:val="none"/>
        </w:rPr>
        <w:t>；</w:t>
      </w:r>
    </w:p>
    <w:p w14:paraId="6198BB7C">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（四）</w:t>
      </w:r>
      <w:r>
        <w:rPr>
          <w:rFonts w:hint="default" w:ascii="Times New Roman" w:hAnsi="Times New Roman" w:eastAsia="仿宋_GB2312" w:cs="Times New Roman"/>
          <w:b w:val="0"/>
          <w:bCs w:val="0"/>
          <w:color w:val="auto"/>
          <w:sz w:val="32"/>
          <w:szCs w:val="32"/>
          <w:highlight w:val="none"/>
          <w:lang w:eastAsia="zh-CN"/>
        </w:rPr>
        <w:t>违反规定利用资产对外担保或者对外投资、设立营利性组织</w:t>
      </w:r>
      <w:r>
        <w:rPr>
          <w:rFonts w:hint="default" w:ascii="Times New Roman" w:hAnsi="Times New Roman" w:eastAsia="仿宋_GB2312" w:cs="Times New Roman"/>
          <w:b w:val="0"/>
          <w:bCs w:val="0"/>
          <w:color w:val="auto"/>
          <w:sz w:val="32"/>
          <w:szCs w:val="32"/>
          <w:highlight w:val="none"/>
        </w:rPr>
        <w:t>；</w:t>
      </w:r>
    </w:p>
    <w:p w14:paraId="6409B06D">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五</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除国家另有规定外，事业单位利用财政拨款、财政拨款结转结余资金对外投资，违反规定买卖期货、股票，购买各种企业债券、各类投资基金和其他任何形式的金融衍生品或者进行任何形式的金融风险投资，在国外债务尚未清偿前利用该贷款形成的资产对外投资；</w:t>
      </w:r>
    </w:p>
    <w:p w14:paraId="636BBD92">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六</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违反国家规定多收、少收、不收、侵占、私分、截留、占用、挪用、隐匿、坐支资产使用收入；</w:t>
      </w:r>
      <w:r>
        <w:rPr>
          <w:rFonts w:hint="default" w:ascii="Times New Roman" w:hAnsi="Times New Roman" w:eastAsia="仿宋_GB2312" w:cs="Times New Roman"/>
          <w:b w:val="0"/>
          <w:bCs w:val="0"/>
          <w:color w:val="auto"/>
          <w:sz w:val="32"/>
          <w:szCs w:val="32"/>
          <w:highlight w:val="none"/>
          <w:lang w:val="en-US" w:eastAsia="zh-CN"/>
        </w:rPr>
        <w:t xml:space="preserve"> </w:t>
      </w:r>
    </w:p>
    <w:p w14:paraId="0ACC2284">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七</w:t>
      </w: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未按照规定评估国有资产导致国有资产损失；</w:t>
      </w:r>
    </w:p>
    <w:p w14:paraId="05FEE186">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rPr>
        <w:t>（</w:t>
      </w:r>
      <w:r>
        <w:rPr>
          <w:rFonts w:hint="default" w:ascii="Times New Roman" w:hAnsi="Times New Roman" w:eastAsia="仿宋_GB2312" w:cs="Times New Roman"/>
          <w:b w:val="0"/>
          <w:bCs w:val="0"/>
          <w:color w:val="auto"/>
          <w:sz w:val="32"/>
          <w:szCs w:val="32"/>
          <w:highlight w:val="none"/>
          <w:lang w:eastAsia="zh-CN"/>
        </w:rPr>
        <w:t>八</w:t>
      </w:r>
      <w:r>
        <w:rPr>
          <w:rFonts w:hint="default" w:ascii="Times New Roman" w:hAnsi="Times New Roman" w:eastAsia="仿宋_GB2312" w:cs="Times New Roman"/>
          <w:b w:val="0"/>
          <w:bCs w:val="0"/>
          <w:color w:val="auto"/>
          <w:sz w:val="32"/>
          <w:szCs w:val="32"/>
          <w:highlight w:val="none"/>
        </w:rPr>
        <w:t>）其他造成单位资产损失的行为</w:t>
      </w:r>
      <w:r>
        <w:rPr>
          <w:rFonts w:hint="default" w:ascii="Times New Roman" w:hAnsi="Times New Roman" w:eastAsia="仿宋_GB2312" w:cs="Times New Roman"/>
          <w:b w:val="0"/>
          <w:bCs w:val="0"/>
          <w:color w:val="auto"/>
          <w:sz w:val="32"/>
          <w:szCs w:val="32"/>
          <w:highlight w:val="none"/>
          <w:lang w:eastAsia="zh-CN"/>
        </w:rPr>
        <w:t>。</w:t>
      </w:r>
    </w:p>
    <w:p w14:paraId="3417D185">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sz w:val="32"/>
          <w:szCs w:val="32"/>
          <w:highlight w:val="none"/>
        </w:rPr>
        <w:t>第</w:t>
      </w:r>
      <w:r>
        <w:rPr>
          <w:rFonts w:hint="default" w:ascii="Times New Roman" w:hAnsi="Times New Roman" w:eastAsia="仿宋_GB2312" w:cs="Times New Roman"/>
          <w:b/>
          <w:bCs/>
          <w:color w:val="auto"/>
          <w:sz w:val="32"/>
          <w:szCs w:val="32"/>
          <w:highlight w:val="none"/>
          <w:lang w:eastAsia="zh-CN"/>
        </w:rPr>
        <w:t>七十八</w:t>
      </w:r>
      <w:r>
        <w:rPr>
          <w:rFonts w:hint="default" w:ascii="Times New Roman" w:hAnsi="Times New Roman" w:eastAsia="仿宋_GB2312" w:cs="Times New Roman"/>
          <w:b/>
          <w:bCs/>
          <w:color w:val="auto"/>
          <w:sz w:val="32"/>
          <w:szCs w:val="32"/>
          <w:highlight w:val="none"/>
        </w:rPr>
        <w:t>条</w:t>
      </w:r>
      <w:r>
        <w:rPr>
          <w:rFonts w:hint="eastAsia"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rPr>
        <w:t>资产处置过程中，存在下列行为的，按照《财政违法行为处罚处分条例》《行政事业性国有资产管理条例》《湖北省行政事业性国有资产监督管理条例》等有关规定进行处罚、处理、处分；涉嫌犯罪的，依法移送司法机关处理。</w:t>
      </w:r>
    </w:p>
    <w:p w14:paraId="62CA9178">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（一）未按照规定经集体决策或者履行审批程序进行处置的；</w:t>
      </w:r>
    </w:p>
    <w:p w14:paraId="583ED78A">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（二）采用弄虚作假等方式低价处置国有资产；</w:t>
      </w:r>
    </w:p>
    <w:p w14:paraId="48A0EEB8">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（三）对已获准处置资产不进行处置，继续留用的；</w:t>
      </w:r>
    </w:p>
    <w:p w14:paraId="60C9EB68">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（四）对可调剂的国有资产不服从调剂的；</w:t>
      </w:r>
    </w:p>
    <w:p w14:paraId="2CD930DC">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（五）隐瞒、截留、挤占、坐支和挪用资产处置收入的；</w:t>
      </w:r>
    </w:p>
    <w:p w14:paraId="781B6EE8">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color w:val="auto"/>
          <w:kern w:val="0"/>
          <w:sz w:val="32"/>
          <w:szCs w:val="32"/>
          <w:highlight w:val="none"/>
        </w:rPr>
        <w:t>（六）未按照规定评估国有资产导致国家利益损失的；</w:t>
      </w:r>
    </w:p>
    <w:p w14:paraId="5437794F">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0" w:firstLineChars="200"/>
        <w:jc w:val="both"/>
        <w:textAlignment w:val="auto"/>
        <w:outlineLvl w:val="9"/>
        <w:rPr>
          <w:rFonts w:hint="default" w:ascii="Times New Roman" w:hAnsi="Times New Roman" w:eastAsia="仿宋_GB2312" w:cs="Times New Roman"/>
          <w:color w:val="auto"/>
          <w:highlight w:val="none"/>
          <w:lang w:eastAsia="zh-CN"/>
        </w:rPr>
      </w:pPr>
      <w:r>
        <w:rPr>
          <w:rFonts w:hint="default" w:ascii="Times New Roman" w:hAnsi="Times New Roman" w:eastAsia="仿宋_GB2312" w:cs="Times New Roman"/>
          <w:color w:val="auto"/>
          <w:kern w:val="0"/>
          <w:sz w:val="32"/>
          <w:szCs w:val="32"/>
          <w:highlight w:val="none"/>
        </w:rPr>
        <w:t>（七）其他违法、违规的资产处置行为</w:t>
      </w:r>
      <w:r>
        <w:rPr>
          <w:rFonts w:hint="default" w:ascii="Times New Roman" w:hAnsi="Times New Roman" w:eastAsia="仿宋_GB2312" w:cs="Times New Roman"/>
          <w:color w:val="auto"/>
          <w:kern w:val="0"/>
          <w:sz w:val="32"/>
          <w:szCs w:val="32"/>
          <w:highlight w:val="none"/>
          <w:lang w:eastAsia="zh-CN"/>
        </w:rPr>
        <w:t>。</w:t>
      </w:r>
    </w:p>
    <w:p w14:paraId="08D39B60">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bCs/>
          <w:color w:val="auto"/>
          <w:sz w:val="32"/>
          <w:szCs w:val="32"/>
          <w:highlight w:val="none"/>
        </w:rPr>
        <w:t>第</w:t>
      </w:r>
      <w:r>
        <w:rPr>
          <w:rFonts w:hint="default" w:ascii="Times New Roman" w:hAnsi="Times New Roman" w:eastAsia="仿宋_GB2312" w:cs="Times New Roman"/>
          <w:b/>
          <w:bCs/>
          <w:color w:val="auto"/>
          <w:sz w:val="32"/>
          <w:szCs w:val="32"/>
          <w:highlight w:val="none"/>
          <w:lang w:eastAsia="zh-CN"/>
        </w:rPr>
        <w:t>七十九</w:t>
      </w:r>
      <w:r>
        <w:rPr>
          <w:rFonts w:hint="default" w:ascii="Times New Roman" w:hAnsi="Times New Roman" w:eastAsia="仿宋_GB2312" w:cs="Times New Roman"/>
          <w:b/>
          <w:bCs/>
          <w:color w:val="auto"/>
          <w:sz w:val="32"/>
          <w:szCs w:val="32"/>
          <w:highlight w:val="none"/>
        </w:rPr>
        <w:t>条</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b w:val="0"/>
          <w:bCs w:val="0"/>
          <w:color w:val="auto"/>
          <w:sz w:val="32"/>
          <w:szCs w:val="32"/>
          <w:highlight w:val="none"/>
          <w:u w:val="none"/>
          <w:lang w:eastAsia="zh-CN"/>
        </w:rPr>
        <w:t>市财政局、各部门及其所属单位的工作人员，在国有资产使用、处置管理工作中，存在其他滥用职权、玩忽职守、徇私舞弊等违法违规行为的，依法追究相应责任；涉嫌犯罪的，依法移送司法机关处理</w:t>
      </w:r>
      <w:r>
        <w:rPr>
          <w:rFonts w:hint="default" w:ascii="Times New Roman" w:hAnsi="Times New Roman" w:eastAsia="仿宋_GB2312" w:cs="Times New Roman"/>
          <w:b w:val="0"/>
          <w:bCs w:val="0"/>
          <w:color w:val="auto"/>
          <w:sz w:val="32"/>
          <w:szCs w:val="32"/>
          <w:highlight w:val="none"/>
          <w:lang w:eastAsia="zh-CN"/>
        </w:rPr>
        <w:t>。</w:t>
      </w:r>
    </w:p>
    <w:p w14:paraId="3EFFE05F">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kern w:val="0"/>
          <w:sz w:val="32"/>
          <w:szCs w:val="32"/>
          <w:highlight w:val="none"/>
        </w:rPr>
      </w:pPr>
      <w:r>
        <w:rPr>
          <w:rFonts w:hint="default" w:ascii="Times New Roman" w:hAnsi="Times New Roman" w:eastAsia="仿宋_GB2312" w:cs="Times New Roman"/>
          <w:b/>
          <w:bCs/>
          <w:color w:val="auto"/>
          <w:kern w:val="0"/>
          <w:sz w:val="32"/>
          <w:szCs w:val="32"/>
          <w:highlight w:val="none"/>
        </w:rPr>
        <w:t>第</w:t>
      </w:r>
      <w:r>
        <w:rPr>
          <w:rFonts w:hint="default" w:ascii="Times New Roman" w:hAnsi="Times New Roman" w:eastAsia="仿宋_GB2312" w:cs="Times New Roman"/>
          <w:b/>
          <w:bCs/>
          <w:color w:val="auto"/>
          <w:kern w:val="0"/>
          <w:sz w:val="32"/>
          <w:szCs w:val="32"/>
          <w:highlight w:val="none"/>
          <w:lang w:eastAsia="zh-CN"/>
        </w:rPr>
        <w:t>八十</w:t>
      </w:r>
      <w:r>
        <w:rPr>
          <w:rFonts w:hint="default" w:ascii="Times New Roman" w:hAnsi="Times New Roman" w:eastAsia="仿宋_GB2312" w:cs="Times New Roman"/>
          <w:b/>
          <w:bCs/>
          <w:color w:val="auto"/>
          <w:kern w:val="0"/>
          <w:sz w:val="32"/>
          <w:szCs w:val="32"/>
          <w:highlight w:val="none"/>
        </w:rPr>
        <w:t>条</w:t>
      </w:r>
      <w:r>
        <w:rPr>
          <w:rFonts w:hint="default" w:ascii="Times New Roman" w:hAnsi="Times New Roman" w:eastAsia="仿宋_GB2312" w:cs="Times New Roman"/>
          <w:b/>
          <w:bCs/>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rPr>
        <w:t>除涉及国家秘密</w:t>
      </w:r>
      <w:r>
        <w:rPr>
          <w:rFonts w:hint="eastAsia" w:ascii="Times New Roman" w:hAnsi="Times New Roman" w:eastAsia="仿宋_GB2312" w:cs="Times New Roman"/>
          <w:color w:val="auto"/>
          <w:kern w:val="0"/>
          <w:sz w:val="32"/>
          <w:szCs w:val="32"/>
          <w:highlight w:val="none"/>
          <w:lang w:eastAsia="zh-CN"/>
        </w:rPr>
        <w:t>、国家安全</w:t>
      </w:r>
      <w:r>
        <w:rPr>
          <w:rFonts w:hint="default" w:ascii="Times New Roman" w:hAnsi="Times New Roman" w:eastAsia="仿宋_GB2312" w:cs="Times New Roman"/>
          <w:color w:val="auto"/>
          <w:kern w:val="0"/>
          <w:sz w:val="32"/>
          <w:szCs w:val="32"/>
          <w:highlight w:val="none"/>
        </w:rPr>
        <w:t>外，各单位应当实行资产处置公示制度，按照规定向社会公开资产处置信息，接受社会公众监督。</w:t>
      </w:r>
    </w:p>
    <w:p w14:paraId="29D018BC">
      <w:pPr>
        <w:pStyle w:val="6"/>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Times New Roman" w:hAnsi="Times New Roman" w:eastAsia="黑体" w:cs="Times New Roman"/>
          <w:color w:val="auto"/>
          <w:sz w:val="32"/>
          <w:szCs w:val="32"/>
          <w:highlight w:val="none"/>
        </w:rPr>
      </w:pPr>
    </w:p>
    <w:p w14:paraId="51828060">
      <w:pPr>
        <w:keepNext w:val="0"/>
        <w:keepLines w:val="0"/>
        <w:pageBreakBefore w:val="0"/>
        <w:widowControl w:val="0"/>
        <w:suppressLineNumbers w:val="0"/>
        <w:kinsoku/>
        <w:wordWrap/>
        <w:overflowPunct/>
        <w:topLinePunct w:val="0"/>
        <w:autoSpaceDE/>
        <w:autoSpaceDN/>
        <w:bidi w:val="0"/>
        <w:adjustRightInd/>
        <w:snapToGrid/>
        <w:spacing w:before="0" w:after="0" w:line="560" w:lineRule="exact"/>
        <w:ind w:left="0" w:leftChars="0" w:right="0" w:rightChars="0"/>
        <w:jc w:val="center"/>
        <w:textAlignment w:val="auto"/>
        <w:outlineLvl w:val="9"/>
        <w:rPr>
          <w:rFonts w:hint="default"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pPr>
      <w:r>
        <w:rPr>
          <w:rFonts w:hint="eastAsia"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t xml:space="preserve">第七章 </w:t>
      </w:r>
      <w:r>
        <w:rPr>
          <w:rFonts w:hint="default" w:ascii="Times New Roman" w:hAnsi="Times New Roman" w:eastAsia="黑体" w:cs="Times New Roman"/>
          <w:b w:val="0"/>
          <w:bCs w:val="0"/>
          <w:i w:val="0"/>
          <w:iCs w:val="0"/>
          <w:caps w:val="0"/>
          <w:color w:val="auto"/>
          <w:spacing w:val="0"/>
          <w:kern w:val="0"/>
          <w:sz w:val="32"/>
          <w:szCs w:val="32"/>
          <w:highlight w:val="none"/>
          <w:shd w:val="clear" w:color="auto" w:fill="FFFFFF"/>
          <w:lang w:val="en-US" w:eastAsia="zh-CN" w:bidi="ar"/>
        </w:rPr>
        <w:t>附则</w:t>
      </w:r>
    </w:p>
    <w:p w14:paraId="16DED0D1">
      <w:pPr>
        <w:pStyle w:val="9"/>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sz w:val="32"/>
          <w:szCs w:val="32"/>
          <w:highlight w:val="none"/>
          <w:lang w:val="en-US"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eastAsia="zh-CN"/>
        </w:rPr>
        <w:t>八十一</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val="0"/>
          <w:bCs/>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社会团体、民间非营利组织使用、处置国有资产的，参照本办法执行。</w:t>
      </w:r>
      <w:r>
        <w:rPr>
          <w:rFonts w:hint="default" w:ascii="Times New Roman" w:hAnsi="Times New Roman" w:eastAsia="仿宋_GB2312" w:cs="Times New Roman"/>
          <w:b w:val="0"/>
          <w:bCs/>
          <w:color w:val="auto"/>
          <w:sz w:val="32"/>
          <w:szCs w:val="32"/>
          <w:highlight w:val="none"/>
          <w:lang w:eastAsia="zh-CN"/>
        </w:rPr>
        <w:t>执行企业财务、会计制度的</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lang w:eastAsia="zh-CN"/>
        </w:rPr>
        <w:t>事业单位，以及</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lang w:eastAsia="zh-CN"/>
        </w:rPr>
        <w:t>行政事业单位所办国有及国有控股企业国有资产使用、处置管理，按照企业国有资产管理有关规定执行，不适用本办法。</w:t>
      </w:r>
      <w:r>
        <w:rPr>
          <w:rFonts w:hint="default" w:ascii="Times New Roman" w:hAnsi="Times New Roman" w:eastAsia="仿宋_GB2312" w:cs="Times New Roman"/>
          <w:b w:val="0"/>
          <w:bCs/>
          <w:color w:val="auto"/>
          <w:sz w:val="32"/>
          <w:szCs w:val="32"/>
          <w:highlight w:val="none"/>
          <w:lang w:val="en-US" w:eastAsia="zh-CN"/>
        </w:rPr>
        <w:t xml:space="preserve"> </w:t>
      </w:r>
    </w:p>
    <w:p w14:paraId="1423DC58">
      <w:pPr>
        <w:pStyle w:val="9"/>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sz w:val="32"/>
          <w:szCs w:val="32"/>
          <w:highlight w:val="none"/>
          <w:lang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eastAsia="zh-CN"/>
        </w:rPr>
        <w:t>八十二</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val="0"/>
          <w:bCs/>
          <w:color w:val="auto"/>
          <w:sz w:val="32"/>
          <w:szCs w:val="32"/>
          <w:highlight w:val="none"/>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lang w:eastAsia="zh-CN"/>
        </w:rPr>
        <w:t>行政事业单位货币性资产使用管理和</w:t>
      </w:r>
      <w:r>
        <w:rPr>
          <w:rFonts w:hint="default" w:ascii="Times New Roman" w:hAnsi="Times New Roman" w:eastAsia="仿宋_GB2312" w:cs="Times New Roman"/>
          <w:color w:val="auto"/>
          <w:kern w:val="0"/>
          <w:sz w:val="32"/>
          <w:szCs w:val="32"/>
          <w:highlight w:val="none"/>
        </w:rPr>
        <w:t>损失核销</w:t>
      </w:r>
      <w:r>
        <w:rPr>
          <w:rFonts w:hint="default" w:ascii="Times New Roman" w:hAnsi="Times New Roman" w:eastAsia="仿宋_GB2312" w:cs="Times New Roman"/>
          <w:b w:val="0"/>
          <w:bCs/>
          <w:color w:val="auto"/>
          <w:sz w:val="32"/>
          <w:szCs w:val="32"/>
          <w:highlight w:val="none"/>
          <w:lang w:eastAsia="zh-CN"/>
        </w:rPr>
        <w:t>，按照预算及财务管理有关规定执行。</w:t>
      </w:r>
    </w:p>
    <w:p w14:paraId="783FCC9D">
      <w:pPr>
        <w:pStyle w:val="9"/>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val="0"/>
          <w:color w:val="auto"/>
          <w:kern w:val="0"/>
          <w:sz w:val="32"/>
          <w:szCs w:val="32"/>
          <w:highlight w:val="none"/>
          <w:lang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eastAsia="zh-CN"/>
        </w:rPr>
        <w:t>八十三</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bCs w:val="0"/>
          <w:color w:val="auto"/>
          <w:sz w:val="32"/>
          <w:szCs w:val="32"/>
          <w:highlight w:val="none"/>
          <w:lang w:val="en-US" w:eastAsia="zh-CN"/>
        </w:rPr>
        <w:t xml:space="preserve"> </w:t>
      </w:r>
      <w:r>
        <w:rPr>
          <w:rFonts w:hint="default" w:ascii="Times New Roman" w:hAnsi="Times New Roman" w:eastAsia="仿宋_GB2312" w:cs="Times New Roman"/>
          <w:b w:val="0"/>
          <w:bCs/>
          <w:color w:val="auto"/>
          <w:sz w:val="32"/>
          <w:szCs w:val="32"/>
          <w:highlight w:val="none"/>
          <w:lang w:val="en-US" w:eastAsia="zh-CN"/>
        </w:rPr>
        <w:t>市直行政</w:t>
      </w:r>
      <w:r>
        <w:rPr>
          <w:rFonts w:hint="default" w:ascii="Times New Roman" w:hAnsi="Times New Roman" w:eastAsia="仿宋_GB2312" w:cs="Times New Roman"/>
          <w:b w:val="0"/>
          <w:bCs w:val="0"/>
          <w:color w:val="auto"/>
          <w:kern w:val="0"/>
          <w:sz w:val="32"/>
          <w:szCs w:val="32"/>
          <w:highlight w:val="none"/>
          <w:lang w:val="en-US" w:eastAsia="zh-CN"/>
        </w:rPr>
        <w:t>事业</w:t>
      </w:r>
      <w:r>
        <w:rPr>
          <w:rFonts w:hint="default" w:ascii="Times New Roman" w:hAnsi="Times New Roman" w:eastAsia="仿宋_GB2312" w:cs="Times New Roman"/>
          <w:b w:val="0"/>
          <w:bCs w:val="0"/>
          <w:color w:val="auto"/>
          <w:kern w:val="0"/>
          <w:sz w:val="32"/>
          <w:szCs w:val="32"/>
          <w:highlight w:val="none"/>
          <w:lang w:eastAsia="zh-CN"/>
        </w:rPr>
        <w:t>单位办公用房和公务用车管理有相关规定的，从其规定。</w:t>
      </w:r>
    </w:p>
    <w:p w14:paraId="4B3F9FE8">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kern w:val="0"/>
          <w:sz w:val="32"/>
          <w:szCs w:val="32"/>
          <w:highlight w:val="none"/>
          <w:lang w:val="en-US" w:eastAsia="zh-CN"/>
        </w:rPr>
        <w:t xml:space="preserve">第八十四条 </w:t>
      </w:r>
      <w:r>
        <w:rPr>
          <w:rFonts w:hint="default" w:ascii="Times New Roman" w:hAnsi="Times New Roman" w:eastAsia="仿宋_GB2312" w:cs="Times New Roman"/>
          <w:b w:val="0"/>
          <w:bCs w:val="0"/>
          <w:color w:val="auto"/>
          <w:kern w:val="0"/>
          <w:sz w:val="32"/>
          <w:szCs w:val="32"/>
          <w:highlight w:val="none"/>
          <w:lang w:val="en-US" w:eastAsia="zh-CN"/>
        </w:rPr>
        <w:t>有关市直行政事业单位应当将依法罚没的资产按照国家规定公开拍卖或者按照有关规定进行处理。</w:t>
      </w:r>
    </w:p>
    <w:p w14:paraId="44733FD4">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sz w:val="32"/>
          <w:szCs w:val="32"/>
          <w:highlight w:val="none"/>
          <w:lang w:val="en-US"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eastAsia="zh-CN"/>
        </w:rPr>
        <w:t>八十五</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val="0"/>
          <w:bCs/>
          <w:color w:val="auto"/>
          <w:sz w:val="32"/>
          <w:szCs w:val="32"/>
          <w:highlight w:val="none"/>
          <w:lang w:val="en-US" w:eastAsia="zh-CN"/>
        </w:rPr>
        <w:t xml:space="preserve"> </w:t>
      </w:r>
      <w:r>
        <w:rPr>
          <w:rFonts w:hint="default" w:ascii="Times New Roman" w:hAnsi="Times New Roman" w:eastAsia="仿宋_GB2312" w:cs="Times New Roman"/>
          <w:b w:val="0"/>
          <w:bCs/>
          <w:color w:val="auto"/>
          <w:sz w:val="32"/>
          <w:szCs w:val="32"/>
          <w:highlight w:val="none"/>
          <w:u w:val="none"/>
          <w:lang w:val="en-US" w:eastAsia="zh-CN"/>
        </w:rPr>
        <w:t>公共基础设施、</w:t>
      </w:r>
      <w:r>
        <w:rPr>
          <w:rFonts w:hint="default" w:ascii="Times New Roman" w:hAnsi="Times New Roman" w:eastAsia="仿宋_GB2312" w:cs="Times New Roman"/>
          <w:b w:val="0"/>
          <w:bCs/>
          <w:color w:val="auto"/>
          <w:sz w:val="32"/>
          <w:szCs w:val="32"/>
          <w:highlight w:val="none"/>
          <w:lang w:val="en-US" w:eastAsia="zh-CN"/>
        </w:rPr>
        <w:t>政府储备物资、文物资源、保障性住房、数据资产资源、专项债形成的资产等行政事业性国有资产使用、处置管理，以及</w:t>
      </w:r>
      <w:r>
        <w:rPr>
          <w:rFonts w:hint="default" w:ascii="Times New Roman" w:hAnsi="Times New Roman" w:eastAsia="仿宋_GB2312" w:cs="Times New Roman"/>
          <w:b w:val="0"/>
          <w:color w:val="auto"/>
          <w:kern w:val="2"/>
          <w:sz w:val="32"/>
          <w:szCs w:val="32"/>
          <w:highlight w:val="none"/>
          <w:lang w:val="en-US" w:eastAsia="zh-CN" w:bidi="ar"/>
        </w:rPr>
        <w:t>市直</w:t>
      </w:r>
      <w:r>
        <w:rPr>
          <w:rFonts w:hint="default" w:ascii="Times New Roman" w:hAnsi="Times New Roman" w:eastAsia="仿宋_GB2312" w:cs="Times New Roman"/>
          <w:b w:val="0"/>
          <w:bCs/>
          <w:color w:val="auto"/>
          <w:sz w:val="32"/>
          <w:szCs w:val="32"/>
          <w:highlight w:val="none"/>
          <w:lang w:val="en-US" w:eastAsia="zh-CN"/>
        </w:rPr>
        <w:t>行政事业单位境外国有资产使用、处置管理，按照有关规定执行。</w:t>
      </w:r>
    </w:p>
    <w:p w14:paraId="49F00302">
      <w:pPr>
        <w:pStyle w:val="9"/>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val="0"/>
          <w:color w:val="auto"/>
          <w:sz w:val="32"/>
          <w:szCs w:val="32"/>
          <w:highlight w:val="none"/>
        </w:rPr>
        <w:t>第</w:t>
      </w:r>
      <w:r>
        <w:rPr>
          <w:rFonts w:hint="default" w:ascii="Times New Roman" w:hAnsi="Times New Roman" w:eastAsia="仿宋_GB2312" w:cs="Times New Roman"/>
          <w:b/>
          <w:bCs w:val="0"/>
          <w:color w:val="auto"/>
          <w:sz w:val="32"/>
          <w:szCs w:val="32"/>
          <w:highlight w:val="none"/>
          <w:lang w:eastAsia="zh-CN"/>
        </w:rPr>
        <w:t>八十六</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val="0"/>
          <w:bCs/>
          <w:color w:val="auto"/>
          <w:sz w:val="32"/>
          <w:szCs w:val="32"/>
          <w:highlight w:val="none"/>
        </w:rPr>
        <w:t xml:space="preserve"> </w:t>
      </w:r>
      <w:r>
        <w:rPr>
          <w:rFonts w:hint="default" w:ascii="Times New Roman" w:hAnsi="Times New Roman" w:eastAsia="仿宋_GB2312" w:cs="Times New Roman"/>
          <w:b w:val="0"/>
          <w:bCs w:val="0"/>
          <w:color w:val="auto"/>
          <w:sz w:val="32"/>
          <w:szCs w:val="32"/>
          <w:highlight w:val="none"/>
          <w:lang w:eastAsia="zh-CN"/>
        </w:rPr>
        <w:t>市直</w:t>
      </w:r>
      <w:r>
        <w:rPr>
          <w:rFonts w:hint="default" w:ascii="Times New Roman" w:hAnsi="Times New Roman" w:eastAsia="仿宋_GB2312" w:cs="Times New Roman"/>
          <w:b w:val="0"/>
          <w:bCs/>
          <w:color w:val="auto"/>
          <w:sz w:val="32"/>
          <w:szCs w:val="32"/>
          <w:highlight w:val="none"/>
          <w:lang w:eastAsia="zh-CN"/>
        </w:rPr>
        <w:t>行政事业单位涉及国家安全和秘密的国有资产使用、处置管理，应当符合国家有关保密制度的规定和要求。</w:t>
      </w:r>
      <w:r>
        <w:rPr>
          <w:rFonts w:hint="default" w:ascii="Times New Roman" w:hAnsi="Times New Roman" w:eastAsia="仿宋_GB2312" w:cs="Times New Roman"/>
          <w:b w:val="0"/>
          <w:bCs/>
          <w:color w:val="auto"/>
          <w:sz w:val="32"/>
          <w:szCs w:val="32"/>
          <w:highlight w:val="none"/>
          <w:lang w:val="en-US" w:eastAsia="zh-CN"/>
        </w:rPr>
        <w:t xml:space="preserve"> </w:t>
      </w:r>
    </w:p>
    <w:p w14:paraId="3419756E">
      <w:pPr>
        <w:pStyle w:val="6"/>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left="0" w:leftChars="0" w:right="0" w:rightChars="0" w:firstLine="643" w:firstLineChars="200"/>
        <w:jc w:val="both"/>
        <w:textAlignment w:val="auto"/>
        <w:outlineLvl w:val="9"/>
        <w:rPr>
          <w:rFonts w:hint="default" w:ascii="Times New Roman" w:hAnsi="Times New Roman" w:eastAsia="仿宋_GB2312" w:cs="Times New Roman"/>
          <w:b w:val="0"/>
          <w:bCs/>
          <w:color w:val="auto"/>
          <w:kern w:val="2"/>
          <w:sz w:val="32"/>
          <w:szCs w:val="32"/>
          <w:highlight w:val="none"/>
          <w:lang w:val="en-US" w:eastAsia="zh-CN" w:bidi="ar-SA"/>
        </w:rPr>
      </w:pPr>
      <w:r>
        <w:rPr>
          <w:rFonts w:hint="default" w:ascii="Times New Roman" w:hAnsi="Times New Roman" w:eastAsia="仿宋_GB2312" w:cs="Times New Roman"/>
          <w:b/>
          <w:bCs w:val="0"/>
          <w:color w:val="auto"/>
          <w:sz w:val="32"/>
          <w:szCs w:val="32"/>
          <w:highlight w:val="none"/>
          <w:lang w:eastAsia="zh-CN"/>
        </w:rPr>
        <w:t>第八十七</w:t>
      </w:r>
      <w:r>
        <w:rPr>
          <w:rFonts w:hint="default" w:ascii="Times New Roman" w:hAnsi="Times New Roman" w:eastAsia="仿宋_GB2312" w:cs="Times New Roman"/>
          <w:b/>
          <w:bCs w:val="0"/>
          <w:color w:val="auto"/>
          <w:sz w:val="32"/>
          <w:szCs w:val="32"/>
          <w:highlight w:val="none"/>
        </w:rPr>
        <w:t>条</w:t>
      </w:r>
      <w:r>
        <w:rPr>
          <w:rFonts w:hint="default" w:ascii="Times New Roman" w:hAnsi="Times New Roman" w:eastAsia="仿宋_GB2312" w:cs="Times New Roman"/>
          <w:b w:val="0"/>
          <w:bCs/>
          <w:color w:val="auto"/>
          <w:sz w:val="32"/>
          <w:szCs w:val="32"/>
          <w:highlight w:val="none"/>
        </w:rPr>
        <w:t xml:space="preserve"> </w:t>
      </w:r>
      <w:r>
        <w:rPr>
          <w:rFonts w:hint="default" w:ascii="Times New Roman" w:hAnsi="Times New Roman" w:eastAsia="仿宋_GB2312" w:cs="Times New Roman"/>
          <w:b w:val="0"/>
          <w:bCs/>
          <w:color w:val="auto"/>
          <w:sz w:val="32"/>
          <w:szCs w:val="32"/>
          <w:highlight w:val="none"/>
          <w:lang w:eastAsia="zh-CN"/>
        </w:rPr>
        <w:t>本办法</w:t>
      </w:r>
      <w:r>
        <w:rPr>
          <w:rFonts w:hint="default" w:ascii="Times New Roman" w:hAnsi="Times New Roman" w:eastAsia="仿宋_GB2312" w:cs="Times New Roman"/>
          <w:b w:val="0"/>
          <w:bCs/>
          <w:color w:val="auto"/>
          <w:kern w:val="2"/>
          <w:sz w:val="32"/>
          <w:szCs w:val="32"/>
          <w:highlight w:val="none"/>
          <w:lang w:val="en-US" w:eastAsia="zh-CN" w:bidi="ar-SA"/>
        </w:rPr>
        <w:t>由市财政局负责解释，自印发之日起施行。20</w:t>
      </w:r>
      <w:r>
        <w:rPr>
          <w:rFonts w:hint="eastAsia" w:ascii="Times New Roman" w:hAnsi="Times New Roman" w:eastAsia="仿宋_GB2312" w:cs="Times New Roman"/>
          <w:b w:val="0"/>
          <w:bCs/>
          <w:color w:val="auto"/>
          <w:kern w:val="2"/>
          <w:sz w:val="32"/>
          <w:szCs w:val="32"/>
          <w:highlight w:val="none"/>
          <w:lang w:val="en-US" w:eastAsia="zh-CN" w:bidi="ar-SA"/>
        </w:rPr>
        <w:t>17年印发的《咸宁市行政事业单位国有资产使用管理办法》（咸财绩规</w:t>
      </w:r>
      <w:r>
        <w:rPr>
          <w:rFonts w:hint="default" w:ascii="Times New Roman" w:hAnsi="Times New Roman" w:eastAsia="仿宋_GB2312" w:cs="Times New Roman"/>
          <w:color w:val="auto"/>
          <w:kern w:val="2"/>
          <w:sz w:val="32"/>
          <w:szCs w:val="32"/>
          <w:lang w:val="en-US" w:eastAsia="zh-CN" w:bidi="ar-SA"/>
        </w:rPr>
        <w:t>〔20</w:t>
      </w:r>
      <w:r>
        <w:rPr>
          <w:rFonts w:hint="eastAsia" w:ascii="Times New Roman" w:hAnsi="Times New Roman" w:eastAsia="仿宋_GB2312" w:cs="Times New Roman"/>
          <w:color w:val="auto"/>
          <w:kern w:val="2"/>
          <w:sz w:val="32"/>
          <w:szCs w:val="32"/>
          <w:lang w:val="en-US" w:eastAsia="zh-CN" w:bidi="ar-SA"/>
        </w:rPr>
        <w:t>17</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b w:val="0"/>
          <w:bCs/>
          <w:color w:val="auto"/>
          <w:kern w:val="2"/>
          <w:sz w:val="32"/>
          <w:szCs w:val="32"/>
          <w:highlight w:val="none"/>
          <w:lang w:val="en-US" w:eastAsia="zh-CN" w:bidi="ar-SA"/>
        </w:rPr>
        <w:t>280号）、《咸宁市行政事业单位国有资产处置管理办法》（咸财绩规</w:t>
      </w:r>
      <w:r>
        <w:rPr>
          <w:rFonts w:hint="default" w:ascii="Times New Roman" w:hAnsi="Times New Roman" w:eastAsia="仿宋_GB2312" w:cs="Times New Roman"/>
          <w:color w:val="auto"/>
          <w:kern w:val="2"/>
          <w:sz w:val="32"/>
          <w:szCs w:val="32"/>
          <w:lang w:val="en-US" w:eastAsia="zh-CN" w:bidi="ar-SA"/>
        </w:rPr>
        <w:t>〔20</w:t>
      </w:r>
      <w:r>
        <w:rPr>
          <w:rFonts w:hint="eastAsia" w:ascii="Times New Roman" w:hAnsi="Times New Roman" w:eastAsia="仿宋_GB2312" w:cs="Times New Roman"/>
          <w:color w:val="auto"/>
          <w:kern w:val="2"/>
          <w:sz w:val="32"/>
          <w:szCs w:val="32"/>
          <w:lang w:val="en-US" w:eastAsia="zh-CN" w:bidi="ar-SA"/>
        </w:rPr>
        <w:t>17</w:t>
      </w:r>
      <w:r>
        <w:rPr>
          <w:rFonts w:hint="default" w:ascii="Times New Roman" w:hAnsi="Times New Roman" w:eastAsia="仿宋_GB2312" w:cs="Times New Roman"/>
          <w:color w:val="auto"/>
          <w:kern w:val="2"/>
          <w:sz w:val="32"/>
          <w:szCs w:val="32"/>
          <w:lang w:val="en-US" w:eastAsia="zh-CN" w:bidi="ar-SA"/>
        </w:rPr>
        <w:t>〕</w:t>
      </w:r>
      <w:r>
        <w:rPr>
          <w:rFonts w:hint="eastAsia" w:ascii="Times New Roman" w:hAnsi="Times New Roman" w:eastAsia="仿宋_GB2312" w:cs="Times New Roman"/>
          <w:b w:val="0"/>
          <w:bCs/>
          <w:color w:val="auto"/>
          <w:kern w:val="2"/>
          <w:sz w:val="32"/>
          <w:szCs w:val="32"/>
          <w:highlight w:val="none"/>
          <w:lang w:val="en-US" w:eastAsia="zh-CN" w:bidi="ar-SA"/>
        </w:rPr>
        <w:t>279号）予以废止。</w:t>
      </w:r>
    </w:p>
    <w:p w14:paraId="18D5D180">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default" w:ascii="Times New Roman" w:hAnsi="Times New Roman" w:eastAsia="仿宋_GB2312" w:cs="Times New Roman"/>
          <w:b w:val="0"/>
          <w:bCs/>
          <w:color w:val="auto"/>
          <w:sz w:val="32"/>
          <w:szCs w:val="32"/>
          <w:highlight w:val="none"/>
          <w:u w:val="none"/>
          <w:lang w:val="en-US" w:eastAsia="zh-CN"/>
        </w:rPr>
      </w:pPr>
    </w:p>
    <w:p w14:paraId="47E256B6">
      <w:pPr>
        <w:keepNext w:val="0"/>
        <w:keepLines w:val="0"/>
        <w:pageBreakBefore w:val="0"/>
        <w:widowControl w:val="0"/>
        <w:kinsoku/>
        <w:wordWrap/>
        <w:overflowPunct/>
        <w:topLinePunct w:val="0"/>
        <w:autoSpaceDE/>
        <w:autoSpaceDN/>
        <w:bidi w:val="0"/>
        <w:adjustRightInd/>
        <w:snapToGrid/>
        <w:spacing w:line="560" w:lineRule="exact"/>
        <w:ind w:left="1897" w:leftChars="294" w:hanging="1280" w:hangingChars="400"/>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附件：1</w:t>
      </w:r>
      <w:r>
        <w:rPr>
          <w:rFonts w:hint="eastAsia" w:ascii="仿宋_GB2312" w:hAnsi="仿宋_GB2312" w:eastAsia="仿宋_GB2312" w:cs="仿宋_GB2312"/>
          <w:color w:val="000000"/>
          <w:kern w:val="0"/>
          <w:sz w:val="32"/>
          <w:szCs w:val="32"/>
          <w:lang w:val="en-US" w:eastAsia="zh-CN"/>
        </w:rPr>
        <w:t>.</w:t>
      </w:r>
      <w:r>
        <w:rPr>
          <w:rFonts w:hint="eastAsia" w:ascii="仿宋_GB2312" w:hAnsi="仿宋_GB2312" w:eastAsia="仿宋_GB2312" w:cs="仿宋_GB2312"/>
          <w:color w:val="000000"/>
          <w:kern w:val="0"/>
          <w:sz w:val="32"/>
          <w:szCs w:val="32"/>
          <w:lang w:eastAsia="zh-CN"/>
        </w:rPr>
        <w:t>咸宁市市直</w:t>
      </w:r>
      <w:r>
        <w:rPr>
          <w:rFonts w:hint="eastAsia" w:ascii="仿宋_GB2312" w:hAnsi="仿宋_GB2312" w:eastAsia="仿宋_GB2312" w:cs="仿宋_GB2312"/>
          <w:color w:val="000000"/>
          <w:kern w:val="0"/>
          <w:sz w:val="32"/>
          <w:szCs w:val="32"/>
        </w:rPr>
        <w:t>行政事业单位国有资产无偿划转和对外捐赠申请表</w:t>
      </w:r>
    </w:p>
    <w:p w14:paraId="3D022B7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1540" w:firstLineChars="500"/>
        <w:textAlignment w:val="auto"/>
        <w:rPr>
          <w:rFonts w:hint="eastAsia" w:ascii="仿宋_GB2312" w:hAnsi="仿宋_GB2312" w:eastAsia="仿宋_GB2312" w:cs="仿宋_GB2312"/>
          <w:color w:val="000000"/>
          <w:spacing w:val="-6"/>
          <w:kern w:val="0"/>
          <w:sz w:val="32"/>
          <w:szCs w:val="32"/>
        </w:rPr>
      </w:pPr>
      <w:r>
        <w:rPr>
          <w:rFonts w:hint="eastAsia" w:ascii="仿宋_GB2312" w:hAnsi="仿宋_GB2312" w:eastAsia="仿宋_GB2312" w:cs="仿宋_GB2312"/>
          <w:color w:val="000000"/>
          <w:spacing w:val="-6"/>
          <w:sz w:val="32"/>
          <w:szCs w:val="32"/>
          <w:lang w:val="en-US" w:eastAsia="zh-CN"/>
        </w:rPr>
        <w:t>2.</w:t>
      </w:r>
      <w:r>
        <w:rPr>
          <w:rFonts w:hint="eastAsia" w:ascii="仿宋_GB2312" w:hAnsi="仿宋_GB2312" w:eastAsia="仿宋_GB2312" w:cs="仿宋_GB2312"/>
          <w:color w:val="000000"/>
          <w:spacing w:val="-6"/>
          <w:sz w:val="32"/>
          <w:szCs w:val="32"/>
          <w:lang w:eastAsia="zh-CN"/>
        </w:rPr>
        <w:t>咸宁市市直</w:t>
      </w:r>
      <w:r>
        <w:rPr>
          <w:rFonts w:hint="eastAsia" w:ascii="仿宋_GB2312" w:hAnsi="仿宋_GB2312" w:eastAsia="仿宋_GB2312" w:cs="仿宋_GB2312"/>
          <w:color w:val="000000"/>
          <w:spacing w:val="-6"/>
          <w:kern w:val="0"/>
          <w:sz w:val="32"/>
          <w:szCs w:val="32"/>
        </w:rPr>
        <w:t>行政事业单位国有资产转让等申请表</w:t>
      </w:r>
    </w:p>
    <w:p w14:paraId="01162440">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jc w:val="both"/>
        <w:textAlignment w:val="auto"/>
        <w:rPr>
          <w:rFonts w:hint="eastAsia"/>
        </w:rPr>
      </w:pPr>
    </w:p>
    <w:p w14:paraId="506B5DCA">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rPr>
      </w:pPr>
    </w:p>
    <w:p w14:paraId="38FD7A76">
      <w:pPr>
        <w:pStyle w:val="2"/>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rPr>
      </w:pPr>
    </w:p>
    <w:p w14:paraId="2BC0FEC6">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rPr>
      </w:pPr>
    </w:p>
    <w:p w14:paraId="3CACD1E9">
      <w:pPr>
        <w:pStyle w:val="2"/>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rPr>
      </w:pPr>
    </w:p>
    <w:p w14:paraId="7102C6A0">
      <w:pPr>
        <w:rPr>
          <w:rFonts w:hint="eastAsia"/>
        </w:rPr>
      </w:pPr>
    </w:p>
    <w:p w14:paraId="1375D1AD">
      <w:pPr>
        <w:pStyle w:val="2"/>
        <w:rPr>
          <w:rFonts w:hint="eastAsia"/>
        </w:rPr>
      </w:pPr>
    </w:p>
    <w:p w14:paraId="3ABB3109">
      <w:pPr>
        <w:rPr>
          <w:rFonts w:hint="eastAsia"/>
        </w:rPr>
      </w:pPr>
    </w:p>
    <w:p w14:paraId="0AA047B7">
      <w:pPr>
        <w:pStyle w:val="2"/>
        <w:rPr>
          <w:rFonts w:hint="eastAsia"/>
        </w:rPr>
      </w:pPr>
    </w:p>
    <w:p w14:paraId="55C97158">
      <w:pPr>
        <w:rPr>
          <w:rFonts w:hint="eastAsia"/>
        </w:rPr>
      </w:pPr>
    </w:p>
    <w:p w14:paraId="3EBF0C60">
      <w:pPr>
        <w:pStyle w:val="2"/>
        <w:rPr>
          <w:rFonts w:hint="eastAsia"/>
        </w:rPr>
      </w:pPr>
    </w:p>
    <w:p w14:paraId="16FA1018">
      <w:pPr>
        <w:rPr>
          <w:rFonts w:hint="eastAsia"/>
        </w:rPr>
      </w:pPr>
    </w:p>
    <w:p w14:paraId="1EEE23F1"/>
    <w:p w14:paraId="68F2F42C">
      <w:pPr>
        <w:sectPr>
          <w:footerReference r:id="rId3" w:type="default"/>
          <w:pgSz w:w="11906" w:h="16838"/>
          <w:pgMar w:top="1701" w:right="1701" w:bottom="1701" w:left="1701" w:header="851" w:footer="992" w:gutter="0"/>
          <w:pgNumType w:fmt="decimal" w:start="1"/>
          <w:cols w:space="720" w:num="1"/>
          <w:docGrid w:type="lines" w:linePitch="312" w:charSpace="0"/>
        </w:sectPr>
      </w:pPr>
    </w:p>
    <w:p w14:paraId="71D3B4C7">
      <w:pPr>
        <w:spacing w:line="560" w:lineRule="exact"/>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附件1</w:t>
      </w:r>
    </w:p>
    <w:p w14:paraId="7A4E599E">
      <w:pPr>
        <w:spacing w:line="560" w:lineRule="exact"/>
        <w:jc w:val="center"/>
        <w:rPr>
          <w:rFonts w:hint="eastAsia" w:ascii="黑体" w:hAnsi="黑体" w:eastAsia="黑体" w:cs="黑体"/>
          <w:color w:val="000000"/>
          <w:kern w:val="0"/>
          <w:sz w:val="36"/>
          <w:szCs w:val="36"/>
        </w:rPr>
      </w:pPr>
      <w:r>
        <w:rPr>
          <w:rFonts w:hint="eastAsia" w:ascii="方正小标宋简体" w:hAnsi="方正小标宋简体" w:eastAsia="方正小标宋简体" w:cs="方正小标宋简体"/>
          <w:color w:val="000000"/>
          <w:kern w:val="0"/>
          <w:sz w:val="36"/>
          <w:szCs w:val="36"/>
          <w:lang w:eastAsia="zh-CN" w:bidi="ar"/>
        </w:rPr>
        <w:t>咸宁市市直</w:t>
      </w:r>
      <w:r>
        <w:rPr>
          <w:rFonts w:hint="eastAsia" w:ascii="方正小标宋简体" w:hAnsi="方正小标宋简体" w:eastAsia="方正小标宋简体" w:cs="方正小标宋简体"/>
          <w:color w:val="000000"/>
          <w:kern w:val="0"/>
          <w:sz w:val="36"/>
          <w:szCs w:val="36"/>
          <w:lang w:bidi="ar"/>
        </w:rPr>
        <w:t>行政事业单位国有资产无偿划转和对外捐赠申请表</w:t>
      </w:r>
    </w:p>
    <w:tbl>
      <w:tblPr>
        <w:tblStyle w:val="17"/>
        <w:tblW w:w="0" w:type="auto"/>
        <w:tblInd w:w="93" w:type="dxa"/>
        <w:tblLayout w:type="fixed"/>
        <w:tblCellMar>
          <w:top w:w="0" w:type="dxa"/>
          <w:left w:w="108" w:type="dxa"/>
          <w:bottom w:w="0" w:type="dxa"/>
          <w:right w:w="108" w:type="dxa"/>
        </w:tblCellMar>
      </w:tblPr>
      <w:tblGrid>
        <w:gridCol w:w="1067"/>
        <w:gridCol w:w="1073"/>
        <w:gridCol w:w="923"/>
        <w:gridCol w:w="931"/>
        <w:gridCol w:w="923"/>
        <w:gridCol w:w="923"/>
        <w:gridCol w:w="923"/>
        <w:gridCol w:w="923"/>
        <w:gridCol w:w="923"/>
        <w:gridCol w:w="923"/>
        <w:gridCol w:w="962"/>
        <w:gridCol w:w="923"/>
        <w:gridCol w:w="923"/>
        <w:gridCol w:w="923"/>
        <w:gridCol w:w="923"/>
        <w:gridCol w:w="974"/>
      </w:tblGrid>
      <w:tr w14:paraId="18DCB490">
        <w:tblPrEx>
          <w:tblCellMar>
            <w:top w:w="0" w:type="dxa"/>
            <w:left w:w="108" w:type="dxa"/>
            <w:bottom w:w="0" w:type="dxa"/>
            <w:right w:w="108" w:type="dxa"/>
          </w:tblCellMar>
        </w:tblPrEx>
        <w:trPr>
          <w:trHeight w:val="319" w:hRule="atLeast"/>
        </w:trPr>
        <w:tc>
          <w:tcPr>
            <w:tcW w:w="2140" w:type="dxa"/>
            <w:gridSpan w:val="2"/>
            <w:tcBorders>
              <w:top w:val="nil"/>
              <w:left w:val="nil"/>
              <w:bottom w:val="nil"/>
              <w:right w:val="nil"/>
            </w:tcBorders>
            <w:noWrap w:val="0"/>
            <w:vAlign w:val="center"/>
          </w:tcPr>
          <w:p w14:paraId="67DFFDB5">
            <w:pPr>
              <w:widowControl/>
              <w:spacing w:line="240" w:lineRule="exact"/>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申报单位（签章）</w:t>
            </w:r>
          </w:p>
        </w:tc>
        <w:tc>
          <w:tcPr>
            <w:tcW w:w="1854" w:type="dxa"/>
            <w:gridSpan w:val="2"/>
            <w:tcBorders>
              <w:top w:val="nil"/>
              <w:left w:val="nil"/>
              <w:bottom w:val="nil"/>
              <w:right w:val="nil"/>
            </w:tcBorders>
            <w:noWrap w:val="0"/>
            <w:vAlign w:val="center"/>
          </w:tcPr>
          <w:p w14:paraId="5EBD1E85">
            <w:pPr>
              <w:spacing w:line="240" w:lineRule="exact"/>
              <w:jc w:val="center"/>
              <w:rPr>
                <w:rFonts w:hint="eastAsia" w:ascii="宋体" w:hAnsi="宋体" w:cs="宋体"/>
                <w:color w:val="000000"/>
                <w:sz w:val="18"/>
                <w:szCs w:val="18"/>
              </w:rPr>
            </w:pPr>
          </w:p>
        </w:tc>
        <w:tc>
          <w:tcPr>
            <w:tcW w:w="6500" w:type="dxa"/>
            <w:gridSpan w:val="7"/>
            <w:tcBorders>
              <w:top w:val="nil"/>
              <w:left w:val="nil"/>
              <w:bottom w:val="nil"/>
              <w:right w:val="nil"/>
            </w:tcBorders>
            <w:noWrap w:val="0"/>
            <w:vAlign w:val="center"/>
          </w:tcPr>
          <w:p w14:paraId="4CE7DC7B">
            <w:pPr>
              <w:widowControl/>
              <w:spacing w:line="240" w:lineRule="exact"/>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申报日期：  年 月 日</w:t>
            </w:r>
          </w:p>
        </w:tc>
        <w:tc>
          <w:tcPr>
            <w:tcW w:w="923" w:type="dxa"/>
            <w:tcBorders>
              <w:top w:val="nil"/>
              <w:left w:val="nil"/>
              <w:bottom w:val="nil"/>
              <w:right w:val="nil"/>
            </w:tcBorders>
            <w:noWrap w:val="0"/>
            <w:vAlign w:val="center"/>
          </w:tcPr>
          <w:p w14:paraId="2362B594">
            <w:pPr>
              <w:spacing w:line="240" w:lineRule="exact"/>
              <w:rPr>
                <w:rFonts w:hint="eastAsia" w:ascii="宋体" w:hAnsi="宋体" w:cs="宋体"/>
                <w:color w:val="000000"/>
                <w:sz w:val="18"/>
                <w:szCs w:val="18"/>
              </w:rPr>
            </w:pPr>
          </w:p>
        </w:tc>
        <w:tc>
          <w:tcPr>
            <w:tcW w:w="923" w:type="dxa"/>
            <w:tcBorders>
              <w:top w:val="nil"/>
              <w:left w:val="nil"/>
              <w:bottom w:val="nil"/>
              <w:right w:val="nil"/>
            </w:tcBorders>
            <w:noWrap w:val="0"/>
            <w:vAlign w:val="center"/>
          </w:tcPr>
          <w:p w14:paraId="1427354A">
            <w:pPr>
              <w:spacing w:line="240" w:lineRule="exact"/>
              <w:rPr>
                <w:rFonts w:hint="eastAsia" w:ascii="宋体" w:hAnsi="宋体" w:cs="宋体"/>
                <w:color w:val="000000"/>
                <w:sz w:val="18"/>
                <w:szCs w:val="18"/>
              </w:rPr>
            </w:pPr>
          </w:p>
        </w:tc>
        <w:tc>
          <w:tcPr>
            <w:tcW w:w="923" w:type="dxa"/>
            <w:tcBorders>
              <w:top w:val="nil"/>
              <w:left w:val="nil"/>
              <w:bottom w:val="nil"/>
              <w:right w:val="nil"/>
            </w:tcBorders>
            <w:noWrap w:val="0"/>
            <w:vAlign w:val="center"/>
          </w:tcPr>
          <w:p w14:paraId="4BE1B944">
            <w:pPr>
              <w:spacing w:line="240" w:lineRule="exact"/>
              <w:rPr>
                <w:rFonts w:hint="eastAsia" w:ascii="宋体" w:hAnsi="宋体" w:cs="宋体"/>
                <w:color w:val="000000"/>
                <w:sz w:val="18"/>
                <w:szCs w:val="18"/>
              </w:rPr>
            </w:pPr>
          </w:p>
        </w:tc>
        <w:tc>
          <w:tcPr>
            <w:tcW w:w="1897" w:type="dxa"/>
            <w:gridSpan w:val="2"/>
            <w:tcBorders>
              <w:top w:val="nil"/>
              <w:left w:val="nil"/>
              <w:bottom w:val="nil"/>
              <w:right w:val="nil"/>
            </w:tcBorders>
            <w:noWrap w:val="0"/>
            <w:vAlign w:val="center"/>
          </w:tcPr>
          <w:p w14:paraId="3EF29FF4">
            <w:pPr>
              <w:widowControl/>
              <w:spacing w:line="240" w:lineRule="exact"/>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金额：万元</w:t>
            </w:r>
          </w:p>
        </w:tc>
      </w:tr>
      <w:tr w14:paraId="1F7E2F71">
        <w:tblPrEx>
          <w:tblCellMar>
            <w:top w:w="0" w:type="dxa"/>
            <w:left w:w="108" w:type="dxa"/>
            <w:bottom w:w="0" w:type="dxa"/>
            <w:right w:w="108" w:type="dxa"/>
          </w:tblCellMar>
        </w:tblPrEx>
        <w:trPr>
          <w:trHeight w:val="339" w:hRule="atLeast"/>
        </w:trPr>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0EED7047">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序号</w:t>
            </w:r>
          </w:p>
        </w:tc>
        <w:tc>
          <w:tcPr>
            <w:tcW w:w="1073" w:type="dxa"/>
            <w:vMerge w:val="restart"/>
            <w:tcBorders>
              <w:top w:val="single" w:color="000000" w:sz="4" w:space="0"/>
              <w:left w:val="single" w:color="000000" w:sz="4" w:space="0"/>
              <w:bottom w:val="single" w:color="000000" w:sz="4" w:space="0"/>
              <w:right w:val="single" w:color="000000" w:sz="4" w:space="0"/>
            </w:tcBorders>
            <w:noWrap w:val="0"/>
            <w:vAlign w:val="center"/>
          </w:tcPr>
          <w:p w14:paraId="2D41768F">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资产名称</w:t>
            </w:r>
          </w:p>
        </w:tc>
        <w:tc>
          <w:tcPr>
            <w:tcW w:w="9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41D5F3A">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资产卡片编号</w:t>
            </w:r>
          </w:p>
        </w:tc>
        <w:tc>
          <w:tcPr>
            <w:tcW w:w="931" w:type="dxa"/>
            <w:vMerge w:val="restart"/>
            <w:tcBorders>
              <w:top w:val="single" w:color="000000" w:sz="4" w:space="0"/>
              <w:left w:val="single" w:color="000000" w:sz="4" w:space="0"/>
              <w:bottom w:val="single" w:color="000000" w:sz="4" w:space="0"/>
              <w:right w:val="single" w:color="000000" w:sz="4" w:space="0"/>
            </w:tcBorders>
            <w:noWrap w:val="0"/>
            <w:vAlign w:val="center"/>
          </w:tcPr>
          <w:p w14:paraId="67D7F8F3">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资产分类代码</w:t>
            </w:r>
          </w:p>
        </w:tc>
        <w:tc>
          <w:tcPr>
            <w:tcW w:w="923" w:type="dxa"/>
            <w:vMerge w:val="restart"/>
            <w:tcBorders>
              <w:top w:val="single" w:color="000000" w:sz="4" w:space="0"/>
              <w:left w:val="single" w:color="000000" w:sz="4" w:space="0"/>
              <w:bottom w:val="single" w:color="000000" w:sz="4" w:space="0"/>
              <w:right w:val="single" w:color="000000" w:sz="4" w:space="0"/>
            </w:tcBorders>
            <w:noWrap w:val="0"/>
            <w:vAlign w:val="center"/>
          </w:tcPr>
          <w:p w14:paraId="7E218463">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资产分类名称</w:t>
            </w:r>
          </w:p>
        </w:tc>
        <w:tc>
          <w:tcPr>
            <w:tcW w:w="9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7E99C3D">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规格型号</w:t>
            </w:r>
          </w:p>
        </w:tc>
        <w:tc>
          <w:tcPr>
            <w:tcW w:w="923" w:type="dxa"/>
            <w:vMerge w:val="restart"/>
            <w:tcBorders>
              <w:top w:val="single" w:color="000000" w:sz="4" w:space="0"/>
              <w:left w:val="single" w:color="000000" w:sz="4" w:space="0"/>
              <w:bottom w:val="single" w:color="000000" w:sz="4" w:space="0"/>
              <w:right w:val="single" w:color="000000" w:sz="4" w:space="0"/>
            </w:tcBorders>
            <w:noWrap w:val="0"/>
            <w:vAlign w:val="center"/>
          </w:tcPr>
          <w:p w14:paraId="69DDD504">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车牌号</w:t>
            </w:r>
          </w:p>
        </w:tc>
        <w:tc>
          <w:tcPr>
            <w:tcW w:w="923" w:type="dxa"/>
            <w:vMerge w:val="restart"/>
            <w:tcBorders>
              <w:top w:val="single" w:color="000000" w:sz="4" w:space="0"/>
              <w:left w:val="single" w:color="000000" w:sz="4" w:space="0"/>
              <w:bottom w:val="single" w:color="000000" w:sz="4" w:space="0"/>
              <w:right w:val="single" w:color="000000" w:sz="4" w:space="0"/>
            </w:tcBorders>
            <w:noWrap w:val="0"/>
            <w:vAlign w:val="center"/>
          </w:tcPr>
          <w:p w14:paraId="5C9EAAC9">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数量/面积（股份）</w:t>
            </w:r>
          </w:p>
        </w:tc>
        <w:tc>
          <w:tcPr>
            <w:tcW w:w="923" w:type="dxa"/>
            <w:vMerge w:val="restart"/>
            <w:tcBorders>
              <w:top w:val="single" w:color="000000" w:sz="4" w:space="0"/>
              <w:left w:val="single" w:color="000000" w:sz="4" w:space="0"/>
              <w:bottom w:val="single" w:color="000000" w:sz="4" w:space="0"/>
              <w:right w:val="single" w:color="000000" w:sz="4" w:space="0"/>
            </w:tcBorders>
            <w:noWrap w:val="0"/>
            <w:vAlign w:val="center"/>
          </w:tcPr>
          <w:p w14:paraId="09C1220C">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计量单位</w:t>
            </w:r>
          </w:p>
        </w:tc>
        <w:tc>
          <w:tcPr>
            <w:tcW w:w="9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8D6745C">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管理部门</w:t>
            </w:r>
          </w:p>
        </w:tc>
        <w:tc>
          <w:tcPr>
            <w:tcW w:w="962" w:type="dxa"/>
            <w:vMerge w:val="restart"/>
            <w:tcBorders>
              <w:top w:val="single" w:color="000000" w:sz="4" w:space="0"/>
              <w:left w:val="single" w:color="000000" w:sz="4" w:space="0"/>
              <w:bottom w:val="single" w:color="000000" w:sz="4" w:space="0"/>
              <w:right w:val="single" w:color="000000" w:sz="4" w:space="0"/>
            </w:tcBorders>
            <w:noWrap w:val="0"/>
            <w:vAlign w:val="center"/>
          </w:tcPr>
          <w:p w14:paraId="090D6575">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取得</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（投资）日期</w:t>
            </w:r>
          </w:p>
        </w:tc>
        <w:tc>
          <w:tcPr>
            <w:tcW w:w="2769"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F8F8335">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价值</w:t>
            </w:r>
          </w:p>
        </w:tc>
        <w:tc>
          <w:tcPr>
            <w:tcW w:w="923" w:type="dxa"/>
            <w:vMerge w:val="restart"/>
            <w:tcBorders>
              <w:top w:val="single" w:color="000000" w:sz="4" w:space="0"/>
              <w:left w:val="single" w:color="000000" w:sz="4" w:space="0"/>
              <w:bottom w:val="single" w:color="000000" w:sz="4" w:space="0"/>
              <w:right w:val="single" w:color="000000" w:sz="4" w:space="0"/>
            </w:tcBorders>
            <w:noWrap w:val="0"/>
            <w:vAlign w:val="center"/>
          </w:tcPr>
          <w:p w14:paraId="11AEB9FE">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处置方式</w:t>
            </w:r>
          </w:p>
        </w:tc>
        <w:tc>
          <w:tcPr>
            <w:tcW w:w="974" w:type="dxa"/>
            <w:vMerge w:val="restart"/>
            <w:tcBorders>
              <w:top w:val="single" w:color="000000" w:sz="4" w:space="0"/>
              <w:left w:val="single" w:color="000000" w:sz="4" w:space="0"/>
              <w:bottom w:val="single" w:color="000000" w:sz="4" w:space="0"/>
              <w:right w:val="single" w:color="000000" w:sz="4" w:space="0"/>
            </w:tcBorders>
            <w:noWrap w:val="0"/>
            <w:vAlign w:val="center"/>
          </w:tcPr>
          <w:p w14:paraId="14B28CFB">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备注</w:t>
            </w:r>
          </w:p>
        </w:tc>
      </w:tr>
      <w:tr w14:paraId="2FA1EE3D">
        <w:tblPrEx>
          <w:tblCellMar>
            <w:top w:w="0" w:type="dxa"/>
            <w:left w:w="108" w:type="dxa"/>
            <w:bottom w:w="0" w:type="dxa"/>
            <w:right w:w="108" w:type="dxa"/>
          </w:tblCellMar>
        </w:tblPrEx>
        <w:trPr>
          <w:trHeight w:val="339"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4FDDC">
            <w:pPr>
              <w:spacing w:line="240" w:lineRule="exact"/>
              <w:jc w:val="center"/>
              <w:rPr>
                <w:rFonts w:hint="eastAsia" w:ascii="宋体" w:hAnsi="宋体" w:cs="宋体"/>
                <w:color w:val="000000"/>
                <w:sz w:val="18"/>
                <w:szCs w:val="18"/>
              </w:rPr>
            </w:pPr>
          </w:p>
        </w:tc>
        <w:tc>
          <w:tcPr>
            <w:tcW w:w="10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751FCF">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6CCE0A">
            <w:pPr>
              <w:spacing w:line="240" w:lineRule="exact"/>
              <w:jc w:val="center"/>
              <w:rPr>
                <w:rFonts w:hint="eastAsia" w:ascii="宋体" w:hAnsi="宋体" w:cs="宋体"/>
                <w:color w:val="000000"/>
                <w:sz w:val="18"/>
                <w:szCs w:val="18"/>
              </w:rPr>
            </w:pPr>
          </w:p>
        </w:tc>
        <w:tc>
          <w:tcPr>
            <w:tcW w:w="9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D6C535">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2638E">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251089">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01A2EA">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E3C5F8">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43B99A">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2EC2D3">
            <w:pPr>
              <w:spacing w:line="240" w:lineRule="exact"/>
              <w:jc w:val="center"/>
              <w:rPr>
                <w:rFonts w:hint="eastAsia" w:ascii="宋体" w:hAnsi="宋体" w:cs="宋体"/>
                <w:color w:val="000000"/>
                <w:sz w:val="18"/>
                <w:szCs w:val="18"/>
              </w:rPr>
            </w:pPr>
          </w:p>
        </w:tc>
        <w:tc>
          <w:tcPr>
            <w:tcW w:w="9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4566D2">
            <w:pPr>
              <w:spacing w:line="240" w:lineRule="exact"/>
              <w:jc w:val="center"/>
              <w:rPr>
                <w:rFonts w:hint="eastAsia" w:ascii="宋体" w:hAnsi="宋体" w:cs="宋体"/>
                <w:color w:val="000000"/>
                <w:sz w:val="18"/>
                <w:szCs w:val="18"/>
              </w:rPr>
            </w:pPr>
          </w:p>
        </w:tc>
        <w:tc>
          <w:tcPr>
            <w:tcW w:w="2769"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77DDD62">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7F1F2">
            <w:pPr>
              <w:spacing w:line="240" w:lineRule="exact"/>
              <w:jc w:val="center"/>
              <w:rPr>
                <w:rFonts w:hint="eastAsia" w:ascii="宋体" w:hAnsi="宋体" w:cs="宋体"/>
                <w:color w:val="000000"/>
                <w:sz w:val="18"/>
                <w:szCs w:val="18"/>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8F29B8">
            <w:pPr>
              <w:spacing w:line="240" w:lineRule="exact"/>
              <w:jc w:val="center"/>
              <w:rPr>
                <w:rFonts w:hint="eastAsia" w:ascii="宋体" w:hAnsi="宋体" w:cs="宋体"/>
                <w:color w:val="000000"/>
                <w:sz w:val="18"/>
                <w:szCs w:val="18"/>
              </w:rPr>
            </w:pPr>
          </w:p>
        </w:tc>
      </w:tr>
      <w:tr w14:paraId="1AAF4468">
        <w:tblPrEx>
          <w:tblCellMar>
            <w:top w:w="0" w:type="dxa"/>
            <w:left w:w="108" w:type="dxa"/>
            <w:bottom w:w="0" w:type="dxa"/>
            <w:right w:w="108" w:type="dxa"/>
          </w:tblCellMar>
        </w:tblPrEx>
        <w:trPr>
          <w:trHeight w:val="659"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E47A5">
            <w:pPr>
              <w:spacing w:line="240" w:lineRule="exact"/>
              <w:jc w:val="center"/>
              <w:rPr>
                <w:rFonts w:hint="eastAsia" w:ascii="宋体" w:hAnsi="宋体" w:cs="宋体"/>
                <w:color w:val="000000"/>
                <w:sz w:val="18"/>
                <w:szCs w:val="18"/>
              </w:rPr>
            </w:pPr>
          </w:p>
        </w:tc>
        <w:tc>
          <w:tcPr>
            <w:tcW w:w="10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EF9D52">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EA5B97">
            <w:pPr>
              <w:spacing w:line="240" w:lineRule="exact"/>
              <w:jc w:val="center"/>
              <w:rPr>
                <w:rFonts w:hint="eastAsia" w:ascii="宋体" w:hAnsi="宋体" w:cs="宋体"/>
                <w:color w:val="000000"/>
                <w:sz w:val="18"/>
                <w:szCs w:val="18"/>
              </w:rPr>
            </w:pPr>
          </w:p>
        </w:tc>
        <w:tc>
          <w:tcPr>
            <w:tcW w:w="93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20BA34">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D3BB1">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5F764">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C70A13">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AB46F0">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9390F">
            <w:pPr>
              <w:spacing w:line="240" w:lineRule="exact"/>
              <w:jc w:val="center"/>
              <w:rPr>
                <w:rFonts w:hint="eastAsia" w:ascii="宋体" w:hAnsi="宋体" w:cs="宋体"/>
                <w:color w:val="000000"/>
                <w:sz w:val="18"/>
                <w:szCs w:val="18"/>
              </w:rPr>
            </w:pP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CD6BD9">
            <w:pPr>
              <w:spacing w:line="240" w:lineRule="exact"/>
              <w:jc w:val="center"/>
              <w:rPr>
                <w:rFonts w:hint="eastAsia" w:ascii="宋体" w:hAnsi="宋体" w:cs="宋体"/>
                <w:color w:val="000000"/>
                <w:sz w:val="18"/>
                <w:szCs w:val="18"/>
              </w:rPr>
            </w:pPr>
          </w:p>
        </w:tc>
        <w:tc>
          <w:tcPr>
            <w:tcW w:w="9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041A1">
            <w:pPr>
              <w:spacing w:line="240" w:lineRule="exact"/>
              <w:jc w:val="center"/>
              <w:rPr>
                <w:rFonts w:hint="eastAsia" w:ascii="宋体" w:hAnsi="宋体" w:cs="宋体"/>
                <w:color w:val="000000"/>
                <w:sz w:val="18"/>
                <w:szCs w:val="18"/>
              </w:rPr>
            </w:pPr>
          </w:p>
        </w:tc>
        <w:tc>
          <w:tcPr>
            <w:tcW w:w="923" w:type="dxa"/>
            <w:tcBorders>
              <w:top w:val="single" w:color="000000" w:sz="4" w:space="0"/>
              <w:left w:val="single" w:color="000000" w:sz="4" w:space="0"/>
              <w:right w:val="single" w:color="000000" w:sz="4" w:space="0"/>
            </w:tcBorders>
            <w:noWrap w:val="0"/>
            <w:vAlign w:val="center"/>
          </w:tcPr>
          <w:p w14:paraId="4448AD5C">
            <w:pPr>
              <w:widowControl/>
              <w:spacing w:line="240" w:lineRule="exact"/>
              <w:jc w:val="center"/>
              <w:textAlignment w:val="center"/>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账面</w:t>
            </w:r>
          </w:p>
          <w:p w14:paraId="3B55BAED">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原值</w:t>
            </w:r>
          </w:p>
        </w:tc>
        <w:tc>
          <w:tcPr>
            <w:tcW w:w="923" w:type="dxa"/>
            <w:tcBorders>
              <w:top w:val="single" w:color="000000" w:sz="4" w:space="0"/>
              <w:left w:val="single" w:color="000000" w:sz="4" w:space="0"/>
              <w:right w:val="single" w:color="000000" w:sz="4" w:space="0"/>
            </w:tcBorders>
            <w:noWrap w:val="0"/>
            <w:vAlign w:val="center"/>
          </w:tcPr>
          <w:p w14:paraId="27D4DFE4">
            <w:pPr>
              <w:widowControl/>
              <w:spacing w:line="240" w:lineRule="exact"/>
              <w:jc w:val="center"/>
              <w:textAlignment w:val="center"/>
              <w:rPr>
                <w:rFonts w:hint="eastAsia" w:ascii="宋体" w:hAnsi="宋体" w:cs="宋体"/>
                <w:color w:val="000000"/>
                <w:kern w:val="0"/>
                <w:sz w:val="13"/>
                <w:szCs w:val="13"/>
                <w:lang w:bidi="ar"/>
              </w:rPr>
            </w:pPr>
            <w:r>
              <w:rPr>
                <w:rFonts w:hint="eastAsia" w:ascii="宋体" w:hAnsi="宋体" w:cs="宋体"/>
                <w:color w:val="000000"/>
                <w:kern w:val="0"/>
                <w:sz w:val="13"/>
                <w:szCs w:val="13"/>
                <w:lang w:bidi="ar"/>
              </w:rPr>
              <w:t>累计折旧/</w:t>
            </w:r>
          </w:p>
          <w:p w14:paraId="71CDC519">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3"/>
                <w:szCs w:val="13"/>
                <w:lang w:bidi="ar"/>
              </w:rPr>
              <w:t>摊销</w:t>
            </w:r>
          </w:p>
        </w:tc>
        <w:tc>
          <w:tcPr>
            <w:tcW w:w="923" w:type="dxa"/>
            <w:tcBorders>
              <w:top w:val="single" w:color="000000" w:sz="4" w:space="0"/>
              <w:left w:val="single" w:color="000000" w:sz="4" w:space="0"/>
              <w:bottom w:val="single" w:color="000000" w:sz="4" w:space="0"/>
              <w:right w:val="single" w:color="000000" w:sz="4" w:space="0"/>
            </w:tcBorders>
            <w:noWrap w:val="0"/>
            <w:vAlign w:val="center"/>
          </w:tcPr>
          <w:p w14:paraId="69147321">
            <w:pPr>
              <w:widowControl/>
              <w:spacing w:line="240" w:lineRule="exact"/>
              <w:jc w:val="center"/>
              <w:textAlignment w:val="center"/>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账面</w:t>
            </w:r>
          </w:p>
          <w:p w14:paraId="2DBB795F">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净值</w:t>
            </w:r>
          </w:p>
        </w:tc>
        <w:tc>
          <w:tcPr>
            <w:tcW w:w="92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F8C3AB">
            <w:pPr>
              <w:spacing w:line="240" w:lineRule="exact"/>
              <w:jc w:val="center"/>
              <w:rPr>
                <w:rFonts w:hint="eastAsia" w:ascii="宋体" w:hAnsi="宋体" w:cs="宋体"/>
                <w:color w:val="000000"/>
                <w:sz w:val="18"/>
                <w:szCs w:val="18"/>
              </w:rPr>
            </w:pPr>
          </w:p>
        </w:tc>
        <w:tc>
          <w:tcPr>
            <w:tcW w:w="97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09C9E8">
            <w:pPr>
              <w:spacing w:line="240" w:lineRule="exact"/>
              <w:jc w:val="center"/>
              <w:rPr>
                <w:rFonts w:hint="eastAsia" w:ascii="宋体" w:hAnsi="宋体" w:cs="宋体"/>
                <w:color w:val="000000"/>
                <w:sz w:val="18"/>
                <w:szCs w:val="18"/>
              </w:rPr>
            </w:pPr>
          </w:p>
        </w:tc>
      </w:tr>
      <w:tr w14:paraId="72EE657C">
        <w:tblPrEx>
          <w:tblCellMar>
            <w:top w:w="0" w:type="dxa"/>
            <w:left w:w="108" w:type="dxa"/>
            <w:bottom w:w="0" w:type="dxa"/>
            <w:right w:w="108" w:type="dxa"/>
          </w:tblCellMar>
        </w:tblPrEx>
        <w:trPr>
          <w:trHeight w:val="339" w:hRule="atLeast"/>
        </w:trPr>
        <w:tc>
          <w:tcPr>
            <w:tcW w:w="1067" w:type="dxa"/>
            <w:tcBorders>
              <w:top w:val="single" w:color="000000" w:sz="4" w:space="0"/>
              <w:left w:val="single" w:color="000000" w:sz="4" w:space="0"/>
              <w:bottom w:val="single" w:color="000000" w:sz="4" w:space="0"/>
              <w:right w:val="single" w:color="000000" w:sz="4" w:space="0"/>
            </w:tcBorders>
            <w:noWrap w:val="0"/>
            <w:vAlign w:val="top"/>
          </w:tcPr>
          <w:p w14:paraId="303A8A29">
            <w:pPr>
              <w:spacing w:line="240" w:lineRule="exact"/>
              <w:rPr>
                <w:rFonts w:hint="eastAsia" w:cs="Calibri"/>
                <w:color w:val="000000"/>
                <w:sz w:val="18"/>
                <w:szCs w:val="18"/>
              </w:rPr>
            </w:pPr>
          </w:p>
        </w:tc>
        <w:tc>
          <w:tcPr>
            <w:tcW w:w="1073" w:type="dxa"/>
            <w:tcBorders>
              <w:top w:val="single" w:color="000000" w:sz="4" w:space="0"/>
              <w:left w:val="single" w:color="000000" w:sz="4" w:space="0"/>
              <w:bottom w:val="single" w:color="000000" w:sz="4" w:space="0"/>
              <w:right w:val="single" w:color="000000" w:sz="4" w:space="0"/>
            </w:tcBorders>
            <w:noWrap w:val="0"/>
            <w:vAlign w:val="top"/>
          </w:tcPr>
          <w:p w14:paraId="58B98EA7">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02EC0ED0">
            <w:pPr>
              <w:spacing w:line="240" w:lineRule="exact"/>
              <w:rPr>
                <w:rFonts w:cs="Calibri"/>
                <w:color w:val="000000"/>
                <w:sz w:val="18"/>
                <w:szCs w:val="18"/>
              </w:rPr>
            </w:pPr>
          </w:p>
        </w:tc>
        <w:tc>
          <w:tcPr>
            <w:tcW w:w="931" w:type="dxa"/>
            <w:tcBorders>
              <w:top w:val="single" w:color="000000" w:sz="4" w:space="0"/>
              <w:left w:val="single" w:color="000000" w:sz="4" w:space="0"/>
              <w:bottom w:val="single" w:color="000000" w:sz="4" w:space="0"/>
              <w:right w:val="single" w:color="000000" w:sz="4" w:space="0"/>
            </w:tcBorders>
            <w:noWrap w:val="0"/>
            <w:vAlign w:val="top"/>
          </w:tcPr>
          <w:p w14:paraId="2177880D">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3F92DEDB">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72E81396">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15844F58">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41454BE6">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039B8D8C">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4E365545">
            <w:pPr>
              <w:spacing w:line="240" w:lineRule="exact"/>
              <w:rPr>
                <w:rFonts w:cs="Calibri"/>
                <w:color w:val="000000"/>
                <w:sz w:val="18"/>
                <w:szCs w:val="18"/>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446B0499">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7694EF57">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450364BF">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77675638">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61949F65">
            <w:pPr>
              <w:spacing w:line="240" w:lineRule="exact"/>
              <w:rPr>
                <w:rFonts w:cs="Calibri"/>
                <w:color w:val="000000"/>
                <w:sz w:val="18"/>
                <w:szCs w:val="18"/>
              </w:rPr>
            </w:pPr>
          </w:p>
        </w:tc>
        <w:tc>
          <w:tcPr>
            <w:tcW w:w="974" w:type="dxa"/>
            <w:tcBorders>
              <w:top w:val="single" w:color="000000" w:sz="4" w:space="0"/>
              <w:left w:val="single" w:color="000000" w:sz="4" w:space="0"/>
              <w:bottom w:val="single" w:color="000000" w:sz="4" w:space="0"/>
              <w:right w:val="single" w:color="000000" w:sz="4" w:space="0"/>
            </w:tcBorders>
            <w:noWrap w:val="0"/>
            <w:vAlign w:val="top"/>
          </w:tcPr>
          <w:p w14:paraId="5DD2FAC1">
            <w:pPr>
              <w:spacing w:line="240" w:lineRule="exact"/>
              <w:rPr>
                <w:rFonts w:cs="Calibri"/>
                <w:color w:val="000000"/>
                <w:sz w:val="18"/>
                <w:szCs w:val="18"/>
              </w:rPr>
            </w:pPr>
          </w:p>
        </w:tc>
      </w:tr>
      <w:tr w14:paraId="12DB907B">
        <w:tblPrEx>
          <w:tblCellMar>
            <w:top w:w="0" w:type="dxa"/>
            <w:left w:w="108" w:type="dxa"/>
            <w:bottom w:w="0" w:type="dxa"/>
            <w:right w:w="108" w:type="dxa"/>
          </w:tblCellMar>
        </w:tblPrEx>
        <w:trPr>
          <w:trHeight w:val="339" w:hRule="atLeast"/>
        </w:trPr>
        <w:tc>
          <w:tcPr>
            <w:tcW w:w="1067" w:type="dxa"/>
            <w:tcBorders>
              <w:top w:val="single" w:color="000000" w:sz="4" w:space="0"/>
              <w:left w:val="single" w:color="000000" w:sz="4" w:space="0"/>
              <w:bottom w:val="single" w:color="000000" w:sz="4" w:space="0"/>
              <w:right w:val="single" w:color="000000" w:sz="4" w:space="0"/>
            </w:tcBorders>
            <w:noWrap w:val="0"/>
            <w:vAlign w:val="top"/>
          </w:tcPr>
          <w:p w14:paraId="7F5F6E01">
            <w:pPr>
              <w:spacing w:line="240" w:lineRule="exact"/>
              <w:rPr>
                <w:rFonts w:cs="Calibri"/>
                <w:color w:val="000000"/>
                <w:sz w:val="18"/>
                <w:szCs w:val="18"/>
              </w:rPr>
            </w:pPr>
          </w:p>
        </w:tc>
        <w:tc>
          <w:tcPr>
            <w:tcW w:w="1073" w:type="dxa"/>
            <w:tcBorders>
              <w:top w:val="single" w:color="000000" w:sz="4" w:space="0"/>
              <w:left w:val="single" w:color="000000" w:sz="4" w:space="0"/>
              <w:bottom w:val="single" w:color="000000" w:sz="4" w:space="0"/>
              <w:right w:val="single" w:color="000000" w:sz="4" w:space="0"/>
            </w:tcBorders>
            <w:noWrap w:val="0"/>
            <w:vAlign w:val="top"/>
          </w:tcPr>
          <w:p w14:paraId="7EBE1DB0">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660A075D">
            <w:pPr>
              <w:spacing w:line="240" w:lineRule="exact"/>
              <w:rPr>
                <w:rFonts w:cs="Calibri"/>
                <w:color w:val="000000"/>
                <w:sz w:val="18"/>
                <w:szCs w:val="18"/>
              </w:rPr>
            </w:pPr>
          </w:p>
        </w:tc>
        <w:tc>
          <w:tcPr>
            <w:tcW w:w="931" w:type="dxa"/>
            <w:tcBorders>
              <w:top w:val="single" w:color="000000" w:sz="4" w:space="0"/>
              <w:left w:val="single" w:color="000000" w:sz="4" w:space="0"/>
              <w:bottom w:val="single" w:color="000000" w:sz="4" w:space="0"/>
              <w:right w:val="single" w:color="000000" w:sz="4" w:space="0"/>
            </w:tcBorders>
            <w:noWrap w:val="0"/>
            <w:vAlign w:val="top"/>
          </w:tcPr>
          <w:p w14:paraId="5522A02C">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04CDFCC2">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611E4B0A">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0B7D4A14">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78BEEF66">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51CD1A76">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0AC33FE5">
            <w:pPr>
              <w:spacing w:line="240" w:lineRule="exact"/>
              <w:rPr>
                <w:rFonts w:cs="Calibri"/>
                <w:color w:val="000000"/>
                <w:sz w:val="18"/>
                <w:szCs w:val="18"/>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5425C232">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71B236C7">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3AF3E378">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77049728">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6A3B67AE">
            <w:pPr>
              <w:spacing w:line="240" w:lineRule="exact"/>
              <w:rPr>
                <w:rFonts w:cs="Calibri"/>
                <w:color w:val="000000"/>
                <w:sz w:val="18"/>
                <w:szCs w:val="18"/>
              </w:rPr>
            </w:pPr>
          </w:p>
        </w:tc>
        <w:tc>
          <w:tcPr>
            <w:tcW w:w="974" w:type="dxa"/>
            <w:tcBorders>
              <w:top w:val="single" w:color="000000" w:sz="4" w:space="0"/>
              <w:left w:val="single" w:color="000000" w:sz="4" w:space="0"/>
              <w:bottom w:val="single" w:color="000000" w:sz="4" w:space="0"/>
              <w:right w:val="single" w:color="000000" w:sz="4" w:space="0"/>
            </w:tcBorders>
            <w:noWrap w:val="0"/>
            <w:vAlign w:val="top"/>
          </w:tcPr>
          <w:p w14:paraId="504669C5">
            <w:pPr>
              <w:spacing w:line="240" w:lineRule="exact"/>
              <w:rPr>
                <w:rFonts w:cs="Calibri"/>
                <w:color w:val="000000"/>
                <w:sz w:val="18"/>
                <w:szCs w:val="18"/>
              </w:rPr>
            </w:pPr>
          </w:p>
        </w:tc>
      </w:tr>
      <w:tr w14:paraId="3C790468">
        <w:tblPrEx>
          <w:tblCellMar>
            <w:top w:w="0" w:type="dxa"/>
            <w:left w:w="108" w:type="dxa"/>
            <w:bottom w:w="0" w:type="dxa"/>
            <w:right w:w="108" w:type="dxa"/>
          </w:tblCellMar>
        </w:tblPrEx>
        <w:trPr>
          <w:trHeight w:val="339" w:hRule="atLeast"/>
        </w:trPr>
        <w:tc>
          <w:tcPr>
            <w:tcW w:w="1067" w:type="dxa"/>
            <w:tcBorders>
              <w:top w:val="single" w:color="000000" w:sz="4" w:space="0"/>
              <w:left w:val="single" w:color="000000" w:sz="4" w:space="0"/>
              <w:bottom w:val="single" w:color="000000" w:sz="4" w:space="0"/>
              <w:right w:val="single" w:color="000000" w:sz="4" w:space="0"/>
            </w:tcBorders>
            <w:noWrap w:val="0"/>
            <w:vAlign w:val="top"/>
          </w:tcPr>
          <w:p w14:paraId="615A7804">
            <w:pPr>
              <w:spacing w:line="240" w:lineRule="exact"/>
              <w:rPr>
                <w:rFonts w:cs="Calibri"/>
                <w:color w:val="000000"/>
                <w:sz w:val="18"/>
                <w:szCs w:val="18"/>
              </w:rPr>
            </w:pPr>
          </w:p>
        </w:tc>
        <w:tc>
          <w:tcPr>
            <w:tcW w:w="1073" w:type="dxa"/>
            <w:tcBorders>
              <w:top w:val="single" w:color="000000" w:sz="4" w:space="0"/>
              <w:left w:val="single" w:color="000000" w:sz="4" w:space="0"/>
              <w:bottom w:val="single" w:color="000000" w:sz="4" w:space="0"/>
              <w:right w:val="single" w:color="000000" w:sz="4" w:space="0"/>
            </w:tcBorders>
            <w:noWrap w:val="0"/>
            <w:vAlign w:val="top"/>
          </w:tcPr>
          <w:p w14:paraId="7AD5E93A">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685BDC48">
            <w:pPr>
              <w:spacing w:line="240" w:lineRule="exact"/>
              <w:rPr>
                <w:rFonts w:cs="Calibri"/>
                <w:color w:val="000000"/>
                <w:sz w:val="18"/>
                <w:szCs w:val="18"/>
              </w:rPr>
            </w:pPr>
          </w:p>
        </w:tc>
        <w:tc>
          <w:tcPr>
            <w:tcW w:w="931" w:type="dxa"/>
            <w:tcBorders>
              <w:top w:val="single" w:color="000000" w:sz="4" w:space="0"/>
              <w:left w:val="single" w:color="000000" w:sz="4" w:space="0"/>
              <w:bottom w:val="single" w:color="000000" w:sz="4" w:space="0"/>
              <w:right w:val="single" w:color="000000" w:sz="4" w:space="0"/>
            </w:tcBorders>
            <w:noWrap w:val="0"/>
            <w:vAlign w:val="top"/>
          </w:tcPr>
          <w:p w14:paraId="10690684">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7F27AAA4">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78CC5055">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4DAD7589">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1A8CE50D">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3DF6581B">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437E2C5F">
            <w:pPr>
              <w:spacing w:line="240" w:lineRule="exact"/>
              <w:rPr>
                <w:rFonts w:cs="Calibri"/>
                <w:color w:val="000000"/>
                <w:sz w:val="18"/>
                <w:szCs w:val="18"/>
              </w:rPr>
            </w:pPr>
          </w:p>
        </w:tc>
        <w:tc>
          <w:tcPr>
            <w:tcW w:w="962" w:type="dxa"/>
            <w:tcBorders>
              <w:top w:val="single" w:color="000000" w:sz="4" w:space="0"/>
              <w:left w:val="single" w:color="000000" w:sz="4" w:space="0"/>
              <w:bottom w:val="single" w:color="000000" w:sz="4" w:space="0"/>
              <w:right w:val="single" w:color="000000" w:sz="4" w:space="0"/>
            </w:tcBorders>
            <w:noWrap w:val="0"/>
            <w:vAlign w:val="top"/>
          </w:tcPr>
          <w:p w14:paraId="31852D5A">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61BFD3E2">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27B05226">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3AD438F6">
            <w:pPr>
              <w:spacing w:line="240" w:lineRule="exact"/>
              <w:rPr>
                <w:rFonts w:cs="Calibri"/>
                <w:color w:val="000000"/>
                <w:sz w:val="18"/>
                <w:szCs w:val="18"/>
              </w:rPr>
            </w:pPr>
          </w:p>
        </w:tc>
        <w:tc>
          <w:tcPr>
            <w:tcW w:w="923" w:type="dxa"/>
            <w:tcBorders>
              <w:top w:val="single" w:color="000000" w:sz="4" w:space="0"/>
              <w:left w:val="single" w:color="000000" w:sz="4" w:space="0"/>
              <w:bottom w:val="single" w:color="000000" w:sz="4" w:space="0"/>
              <w:right w:val="single" w:color="000000" w:sz="4" w:space="0"/>
            </w:tcBorders>
            <w:noWrap w:val="0"/>
            <w:vAlign w:val="top"/>
          </w:tcPr>
          <w:p w14:paraId="55ED948F">
            <w:pPr>
              <w:spacing w:line="240" w:lineRule="exact"/>
              <w:rPr>
                <w:rFonts w:cs="Calibri"/>
                <w:color w:val="000000"/>
                <w:sz w:val="18"/>
                <w:szCs w:val="18"/>
              </w:rPr>
            </w:pPr>
          </w:p>
        </w:tc>
        <w:tc>
          <w:tcPr>
            <w:tcW w:w="974" w:type="dxa"/>
            <w:tcBorders>
              <w:top w:val="single" w:color="000000" w:sz="4" w:space="0"/>
              <w:left w:val="single" w:color="000000" w:sz="4" w:space="0"/>
              <w:bottom w:val="single" w:color="000000" w:sz="4" w:space="0"/>
              <w:right w:val="single" w:color="000000" w:sz="4" w:space="0"/>
            </w:tcBorders>
            <w:noWrap w:val="0"/>
            <w:vAlign w:val="top"/>
          </w:tcPr>
          <w:p w14:paraId="0A94B46B">
            <w:pPr>
              <w:spacing w:line="240" w:lineRule="exact"/>
              <w:rPr>
                <w:rFonts w:cs="Calibri"/>
                <w:color w:val="000000"/>
                <w:sz w:val="18"/>
                <w:szCs w:val="18"/>
              </w:rPr>
            </w:pPr>
          </w:p>
        </w:tc>
      </w:tr>
      <w:tr w14:paraId="092A600F">
        <w:tblPrEx>
          <w:tblCellMar>
            <w:top w:w="0" w:type="dxa"/>
            <w:left w:w="108" w:type="dxa"/>
            <w:bottom w:w="0" w:type="dxa"/>
            <w:right w:w="108" w:type="dxa"/>
          </w:tblCellMar>
        </w:tblPrEx>
        <w:trPr>
          <w:trHeight w:val="494" w:hRule="atLeast"/>
        </w:trPr>
        <w:tc>
          <w:tcPr>
            <w:tcW w:w="3063" w:type="dxa"/>
            <w:gridSpan w:val="3"/>
            <w:tcBorders>
              <w:top w:val="single" w:color="000000" w:sz="4" w:space="0"/>
              <w:left w:val="single" w:color="000000" w:sz="4" w:space="0"/>
              <w:bottom w:val="single" w:color="000000" w:sz="4" w:space="0"/>
              <w:right w:val="single" w:color="000000" w:sz="4" w:space="0"/>
            </w:tcBorders>
            <w:noWrap w:val="0"/>
            <w:vAlign w:val="center"/>
          </w:tcPr>
          <w:p w14:paraId="082D9B49">
            <w:pPr>
              <w:widowControl/>
              <w:spacing w:line="240" w:lineRule="exact"/>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处 置 原 因</w:t>
            </w:r>
          </w:p>
        </w:tc>
        <w:tc>
          <w:tcPr>
            <w:tcW w:w="12097" w:type="dxa"/>
            <w:gridSpan w:val="13"/>
            <w:tcBorders>
              <w:top w:val="single" w:color="000000" w:sz="4" w:space="0"/>
              <w:left w:val="single" w:color="000000" w:sz="4" w:space="0"/>
              <w:bottom w:val="single" w:color="000000" w:sz="4" w:space="0"/>
              <w:right w:val="single" w:color="000000" w:sz="4" w:space="0"/>
            </w:tcBorders>
            <w:noWrap w:val="0"/>
            <w:vAlign w:val="center"/>
          </w:tcPr>
          <w:p w14:paraId="4A4CF3E5">
            <w:pPr>
              <w:spacing w:line="240" w:lineRule="exact"/>
              <w:jc w:val="center"/>
              <w:rPr>
                <w:rFonts w:hint="eastAsia" w:ascii="宋体" w:hAnsi="宋体" w:cs="宋体"/>
                <w:color w:val="000000"/>
                <w:sz w:val="20"/>
                <w:szCs w:val="20"/>
              </w:rPr>
            </w:pPr>
          </w:p>
        </w:tc>
      </w:tr>
      <w:tr w14:paraId="51ACD599">
        <w:tblPrEx>
          <w:tblCellMar>
            <w:top w:w="0" w:type="dxa"/>
            <w:left w:w="108" w:type="dxa"/>
            <w:bottom w:w="0" w:type="dxa"/>
            <w:right w:w="108" w:type="dxa"/>
          </w:tblCellMar>
        </w:tblPrEx>
        <w:trPr>
          <w:trHeight w:val="665" w:hRule="atLeast"/>
        </w:trPr>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5D77A3D0">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划</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出</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方</w:t>
            </w:r>
          </w:p>
        </w:tc>
        <w:tc>
          <w:tcPr>
            <w:tcW w:w="1073" w:type="dxa"/>
            <w:tcBorders>
              <w:top w:val="single" w:color="000000" w:sz="4" w:space="0"/>
              <w:left w:val="single" w:color="000000" w:sz="4" w:space="0"/>
              <w:bottom w:val="single" w:color="000000" w:sz="4" w:space="0"/>
              <w:right w:val="single" w:color="000000" w:sz="4" w:space="0"/>
            </w:tcBorders>
            <w:noWrap w:val="0"/>
            <w:vAlign w:val="center"/>
          </w:tcPr>
          <w:p w14:paraId="4A0129DD">
            <w:pPr>
              <w:widowControl/>
              <w:spacing w:line="240" w:lineRule="exact"/>
              <w:jc w:val="center"/>
              <w:textAlignment w:val="center"/>
              <w:rPr>
                <w:rFonts w:hint="eastAsia" w:ascii="宋体" w:hAnsi="宋体" w:cs="宋体"/>
                <w:color w:val="000000"/>
                <w:sz w:val="15"/>
                <w:szCs w:val="15"/>
              </w:rPr>
            </w:pPr>
            <w:r>
              <w:rPr>
                <w:rFonts w:hint="eastAsia" w:ascii="宋体" w:hAnsi="宋体" w:cs="宋体"/>
                <w:color w:val="000000"/>
                <w:kern w:val="0"/>
                <w:sz w:val="15"/>
                <w:szCs w:val="15"/>
                <w:lang w:bidi="ar"/>
              </w:rPr>
              <w:t>单位意见</w:t>
            </w:r>
          </w:p>
        </w:tc>
        <w:tc>
          <w:tcPr>
            <w:tcW w:w="3700" w:type="dxa"/>
            <w:gridSpan w:val="4"/>
            <w:tcBorders>
              <w:top w:val="single" w:color="000000" w:sz="4" w:space="0"/>
              <w:left w:val="single" w:color="000000" w:sz="4" w:space="0"/>
              <w:bottom w:val="single" w:color="000000" w:sz="4" w:space="0"/>
              <w:right w:val="single" w:color="000000" w:sz="4" w:space="0"/>
            </w:tcBorders>
            <w:noWrap w:val="0"/>
            <w:vAlign w:val="top"/>
          </w:tcPr>
          <w:p w14:paraId="68AF1B29">
            <w:pPr>
              <w:widowControl/>
              <w:spacing w:line="240" w:lineRule="exact"/>
              <w:jc w:val="left"/>
              <w:textAlignment w:val="top"/>
            </w:pPr>
            <w:r>
              <w:rPr>
                <w:rFonts w:hint="eastAsia" w:ascii="宋体" w:hAnsi="宋体" w:cs="宋体"/>
                <w:color w:val="000000"/>
                <w:kern w:val="0"/>
                <w:sz w:val="15"/>
                <w:szCs w:val="15"/>
                <w:lang w:bidi="ar"/>
              </w:rPr>
              <w:t xml:space="preserve">资产管理部门负责人（签章） </w:t>
            </w:r>
          </w:p>
          <w:p w14:paraId="1536A61A">
            <w:pPr>
              <w:widowControl/>
              <w:spacing w:line="240" w:lineRule="exact"/>
              <w:jc w:val="right"/>
              <w:textAlignment w:val="top"/>
              <w:rPr>
                <w:rFonts w:hint="eastAsia" w:ascii="宋体" w:hAnsi="宋体" w:cs="宋体"/>
                <w:color w:val="000000"/>
                <w:sz w:val="16"/>
                <w:szCs w:val="16"/>
              </w:rPr>
            </w:pPr>
            <w:r>
              <w:rPr>
                <w:rFonts w:hint="eastAsia" w:ascii="宋体" w:hAnsi="宋体" w:cs="宋体"/>
                <w:color w:val="000000"/>
                <w:kern w:val="0"/>
                <w:sz w:val="16"/>
                <w:szCs w:val="16"/>
                <w:lang w:bidi="ar"/>
              </w:rPr>
              <w:t>年</w:t>
            </w:r>
            <w:r>
              <w:rPr>
                <w:rFonts w:cs="Calibri"/>
                <w:color w:val="000000"/>
                <w:sz w:val="16"/>
                <w:szCs w:val="16"/>
                <w:lang w:bidi="ar"/>
              </w:rPr>
              <w:t xml:space="preserve">   </w:t>
            </w:r>
            <w:r>
              <w:rPr>
                <w:rFonts w:hint="eastAsia" w:ascii="宋体" w:hAnsi="宋体" w:cs="宋体"/>
                <w:color w:val="000000"/>
                <w:sz w:val="16"/>
                <w:szCs w:val="16"/>
                <w:lang w:bidi="ar"/>
              </w:rPr>
              <w:t>月</w:t>
            </w:r>
            <w:r>
              <w:rPr>
                <w:rFonts w:cs="Calibri"/>
                <w:color w:val="000000"/>
                <w:sz w:val="16"/>
                <w:szCs w:val="16"/>
                <w:lang w:bidi="ar"/>
              </w:rPr>
              <w:t xml:space="preserve">   </w:t>
            </w:r>
            <w:r>
              <w:rPr>
                <w:rFonts w:hint="eastAsia" w:ascii="宋体" w:hAnsi="宋体" w:cs="宋体"/>
                <w:color w:val="000000"/>
                <w:sz w:val="16"/>
                <w:szCs w:val="16"/>
                <w:lang w:bidi="ar"/>
              </w:rPr>
              <w:t>日</w:t>
            </w:r>
          </w:p>
        </w:tc>
        <w:tc>
          <w:tcPr>
            <w:tcW w:w="4654" w:type="dxa"/>
            <w:gridSpan w:val="5"/>
            <w:tcBorders>
              <w:top w:val="single" w:color="000000" w:sz="4" w:space="0"/>
              <w:left w:val="single" w:color="000000" w:sz="4" w:space="0"/>
              <w:bottom w:val="single" w:color="000000" w:sz="4" w:space="0"/>
              <w:right w:val="single" w:color="000000" w:sz="4" w:space="0"/>
            </w:tcBorders>
            <w:noWrap w:val="0"/>
            <w:vAlign w:val="top"/>
          </w:tcPr>
          <w:p w14:paraId="61BF5F0A">
            <w:pPr>
              <w:widowControl/>
              <w:spacing w:line="240" w:lineRule="exact"/>
              <w:jc w:val="left"/>
              <w:textAlignment w:val="top"/>
              <w:rPr>
                <w:rFonts w:hint="eastAsia" w:ascii="宋体" w:hAnsi="宋体" w:cs="宋体"/>
                <w:color w:val="000000"/>
                <w:kern w:val="0"/>
                <w:sz w:val="15"/>
                <w:szCs w:val="15"/>
                <w:lang w:bidi="ar"/>
              </w:rPr>
            </w:pPr>
            <w:r>
              <w:rPr>
                <w:rFonts w:hint="eastAsia" w:ascii="宋体" w:hAnsi="宋体" w:cs="宋体"/>
                <w:color w:val="000000"/>
                <w:kern w:val="0"/>
                <w:sz w:val="15"/>
                <w:szCs w:val="15"/>
                <w:lang w:bidi="ar"/>
              </w:rPr>
              <w:t>预算（财务）管理部门负责人（签章）</w:t>
            </w:r>
          </w:p>
          <w:p w14:paraId="731F6766">
            <w:pPr>
              <w:widowControl/>
              <w:spacing w:line="240" w:lineRule="exact"/>
              <w:jc w:val="right"/>
              <w:textAlignment w:val="top"/>
              <w:rPr>
                <w:rFonts w:hint="eastAsia" w:ascii="宋体" w:hAnsi="宋体" w:cs="宋体"/>
                <w:color w:val="000000"/>
                <w:sz w:val="16"/>
                <w:szCs w:val="16"/>
              </w:rPr>
            </w:pPr>
            <w:r>
              <w:rPr>
                <w:rFonts w:hint="eastAsia" w:ascii="宋体" w:hAnsi="宋体" w:cs="宋体"/>
                <w:color w:val="000000"/>
                <w:kern w:val="0"/>
                <w:sz w:val="16"/>
                <w:szCs w:val="16"/>
                <w:lang w:bidi="ar"/>
              </w:rPr>
              <w:t>年   月   日</w:t>
            </w:r>
          </w:p>
        </w:tc>
        <w:tc>
          <w:tcPr>
            <w:tcW w:w="4666" w:type="dxa"/>
            <w:gridSpan w:val="5"/>
            <w:vMerge w:val="restart"/>
            <w:tcBorders>
              <w:top w:val="single" w:color="000000" w:sz="4" w:space="0"/>
              <w:left w:val="single" w:color="000000" w:sz="4" w:space="0"/>
              <w:bottom w:val="single" w:color="000000" w:sz="4" w:space="0"/>
              <w:right w:val="single" w:color="000000" w:sz="4" w:space="0"/>
            </w:tcBorders>
            <w:noWrap w:val="0"/>
            <w:vAlign w:val="top"/>
          </w:tcPr>
          <w:p w14:paraId="419F859B">
            <w:pPr>
              <w:widowControl/>
              <w:spacing w:line="240" w:lineRule="exact"/>
              <w:jc w:val="left"/>
              <w:textAlignment w:val="top"/>
              <w:rPr>
                <w:rFonts w:hint="eastAsia" w:ascii="宋体" w:hAnsi="宋体" w:cs="宋体"/>
                <w:color w:val="000000"/>
                <w:kern w:val="0"/>
                <w:sz w:val="15"/>
                <w:szCs w:val="15"/>
                <w:lang w:bidi="ar"/>
              </w:rPr>
            </w:pPr>
            <w:r>
              <w:rPr>
                <w:rFonts w:hint="eastAsia" w:ascii="宋体" w:hAnsi="宋体" w:cs="宋体"/>
                <w:color w:val="000000"/>
                <w:kern w:val="0"/>
                <w:sz w:val="15"/>
                <w:szCs w:val="15"/>
                <w:lang w:bidi="ar"/>
              </w:rPr>
              <w:t>单位负责人（签章）</w:t>
            </w:r>
          </w:p>
          <w:p w14:paraId="0ED423DB">
            <w:pPr>
              <w:widowControl/>
              <w:spacing w:line="240" w:lineRule="exact"/>
              <w:jc w:val="right"/>
              <w:textAlignment w:val="top"/>
              <w:rPr>
                <w:rFonts w:hint="eastAsia" w:ascii="宋体" w:hAnsi="宋体" w:cs="宋体"/>
                <w:color w:val="000000"/>
                <w:kern w:val="0"/>
                <w:sz w:val="16"/>
                <w:szCs w:val="16"/>
                <w:lang w:bidi="ar"/>
              </w:rPr>
            </w:pPr>
          </w:p>
          <w:p w14:paraId="166FAC69">
            <w:pPr>
              <w:widowControl/>
              <w:spacing w:line="240" w:lineRule="exact"/>
              <w:jc w:val="right"/>
              <w:textAlignment w:val="top"/>
              <w:rPr>
                <w:rFonts w:hint="eastAsia" w:ascii="宋体" w:hAnsi="宋体" w:cs="宋体"/>
                <w:color w:val="000000"/>
                <w:kern w:val="0"/>
                <w:sz w:val="16"/>
                <w:szCs w:val="16"/>
                <w:lang w:bidi="ar"/>
              </w:rPr>
            </w:pPr>
          </w:p>
          <w:p w14:paraId="54E5AD02">
            <w:pPr>
              <w:widowControl/>
              <w:spacing w:line="240" w:lineRule="exact"/>
              <w:jc w:val="right"/>
              <w:textAlignment w:val="top"/>
              <w:rPr>
                <w:rFonts w:hint="eastAsia" w:ascii="宋体" w:hAnsi="宋体" w:cs="宋体"/>
                <w:color w:val="000000"/>
                <w:kern w:val="0"/>
                <w:sz w:val="16"/>
                <w:szCs w:val="16"/>
                <w:lang w:bidi="ar"/>
              </w:rPr>
            </w:pPr>
          </w:p>
          <w:p w14:paraId="2E4C4C9A">
            <w:pPr>
              <w:widowControl/>
              <w:spacing w:line="240" w:lineRule="exact"/>
              <w:jc w:val="right"/>
              <w:textAlignment w:val="top"/>
              <w:rPr>
                <w:rFonts w:hint="eastAsia" w:ascii="宋体" w:hAnsi="宋体" w:cs="宋体"/>
                <w:color w:val="000000"/>
                <w:sz w:val="16"/>
                <w:szCs w:val="16"/>
              </w:rPr>
            </w:pPr>
            <w:r>
              <w:rPr>
                <w:rFonts w:hint="eastAsia" w:ascii="宋体" w:hAnsi="宋体" w:cs="宋体"/>
                <w:color w:val="000000"/>
                <w:kern w:val="0"/>
                <w:sz w:val="16"/>
                <w:szCs w:val="16"/>
                <w:lang w:bidi="ar"/>
              </w:rPr>
              <w:t>年</w:t>
            </w:r>
            <w:r>
              <w:rPr>
                <w:rFonts w:cs="Calibri"/>
                <w:color w:val="000000"/>
                <w:sz w:val="16"/>
                <w:szCs w:val="16"/>
                <w:lang w:bidi="ar"/>
              </w:rPr>
              <w:t xml:space="preserve">   </w:t>
            </w:r>
            <w:r>
              <w:rPr>
                <w:rFonts w:hint="eastAsia" w:ascii="宋体" w:hAnsi="宋体" w:cs="宋体"/>
                <w:color w:val="000000"/>
                <w:sz w:val="16"/>
                <w:szCs w:val="16"/>
                <w:lang w:bidi="ar"/>
              </w:rPr>
              <w:t>月</w:t>
            </w:r>
            <w:r>
              <w:rPr>
                <w:rFonts w:cs="Calibri"/>
                <w:color w:val="000000"/>
                <w:sz w:val="16"/>
                <w:szCs w:val="16"/>
                <w:lang w:bidi="ar"/>
              </w:rPr>
              <w:t xml:space="preserve">   </w:t>
            </w:r>
            <w:r>
              <w:rPr>
                <w:rFonts w:hint="eastAsia" w:ascii="宋体" w:hAnsi="宋体" w:cs="宋体"/>
                <w:color w:val="000000"/>
                <w:sz w:val="16"/>
                <w:szCs w:val="16"/>
                <w:lang w:bidi="ar"/>
              </w:rPr>
              <w:t>日</w:t>
            </w:r>
          </w:p>
        </w:tc>
      </w:tr>
      <w:tr w14:paraId="266E340D">
        <w:tblPrEx>
          <w:tblCellMar>
            <w:top w:w="0" w:type="dxa"/>
            <w:left w:w="108" w:type="dxa"/>
            <w:bottom w:w="0" w:type="dxa"/>
            <w:right w:w="108" w:type="dxa"/>
          </w:tblCellMar>
        </w:tblPrEx>
        <w:trPr>
          <w:trHeight w:val="670"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69634">
            <w:pPr>
              <w:spacing w:line="240" w:lineRule="exact"/>
              <w:jc w:val="center"/>
              <w:rPr>
                <w:rFonts w:hint="eastAsia" w:ascii="宋体" w:hAnsi="宋体" w:cs="宋体"/>
                <w:color w:val="000000"/>
                <w:sz w:val="18"/>
                <w:szCs w:val="18"/>
              </w:rPr>
            </w:pPr>
          </w:p>
        </w:tc>
        <w:tc>
          <w:tcPr>
            <w:tcW w:w="1073" w:type="dxa"/>
            <w:tcBorders>
              <w:top w:val="single" w:color="000000" w:sz="4" w:space="0"/>
              <w:left w:val="single" w:color="000000" w:sz="4" w:space="0"/>
              <w:bottom w:val="single" w:color="000000" w:sz="4" w:space="0"/>
              <w:right w:val="single" w:color="000000" w:sz="4" w:space="0"/>
            </w:tcBorders>
            <w:noWrap w:val="0"/>
            <w:vAlign w:val="center"/>
          </w:tcPr>
          <w:p w14:paraId="77FE4F0C">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主管部门</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审核意见</w:t>
            </w:r>
          </w:p>
        </w:tc>
        <w:tc>
          <w:tcPr>
            <w:tcW w:w="3700" w:type="dxa"/>
            <w:gridSpan w:val="4"/>
            <w:tcBorders>
              <w:top w:val="single" w:color="000000" w:sz="4" w:space="0"/>
              <w:left w:val="single" w:color="000000" w:sz="4" w:space="0"/>
              <w:bottom w:val="single" w:color="000000" w:sz="4" w:space="0"/>
              <w:right w:val="single" w:color="000000" w:sz="4" w:space="0"/>
            </w:tcBorders>
            <w:noWrap w:val="0"/>
            <w:vAlign w:val="top"/>
          </w:tcPr>
          <w:p w14:paraId="4727F7A9">
            <w:pPr>
              <w:widowControl/>
              <w:spacing w:line="240" w:lineRule="exact"/>
              <w:jc w:val="left"/>
              <w:textAlignment w:val="top"/>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资产管理部门负责人（签章）</w:t>
            </w:r>
          </w:p>
          <w:p w14:paraId="0D200560">
            <w:pPr>
              <w:widowControl/>
              <w:spacing w:line="240" w:lineRule="exact"/>
              <w:jc w:val="right"/>
              <w:textAlignment w:val="top"/>
              <w:rPr>
                <w:rFonts w:hint="eastAsia" w:ascii="宋体" w:hAnsi="宋体" w:cs="宋体"/>
                <w:color w:val="000000"/>
                <w:sz w:val="16"/>
                <w:szCs w:val="16"/>
              </w:rPr>
            </w:pPr>
            <w:r>
              <w:rPr>
                <w:rFonts w:hint="eastAsia" w:ascii="宋体" w:hAnsi="宋体" w:cs="宋体"/>
                <w:color w:val="000000"/>
                <w:kern w:val="0"/>
                <w:sz w:val="16"/>
                <w:szCs w:val="16"/>
                <w:lang w:bidi="ar"/>
              </w:rPr>
              <w:t>年</w:t>
            </w:r>
            <w:r>
              <w:rPr>
                <w:rFonts w:cs="Calibri"/>
                <w:color w:val="000000"/>
                <w:sz w:val="16"/>
                <w:szCs w:val="16"/>
                <w:lang w:bidi="ar"/>
              </w:rPr>
              <w:t xml:space="preserve">   </w:t>
            </w:r>
            <w:r>
              <w:rPr>
                <w:rFonts w:hint="eastAsia" w:ascii="宋体" w:hAnsi="宋体" w:cs="宋体"/>
                <w:color w:val="000000"/>
                <w:sz w:val="16"/>
                <w:szCs w:val="16"/>
                <w:lang w:bidi="ar"/>
              </w:rPr>
              <w:t>月</w:t>
            </w:r>
            <w:r>
              <w:rPr>
                <w:rFonts w:cs="Calibri"/>
                <w:color w:val="000000"/>
                <w:sz w:val="16"/>
                <w:szCs w:val="16"/>
                <w:lang w:bidi="ar"/>
              </w:rPr>
              <w:t xml:space="preserve">   </w:t>
            </w:r>
            <w:r>
              <w:rPr>
                <w:rFonts w:hint="eastAsia" w:ascii="宋体" w:hAnsi="宋体" w:cs="宋体"/>
                <w:color w:val="000000"/>
                <w:sz w:val="16"/>
                <w:szCs w:val="16"/>
                <w:lang w:bidi="ar"/>
              </w:rPr>
              <w:t>日</w:t>
            </w:r>
          </w:p>
        </w:tc>
        <w:tc>
          <w:tcPr>
            <w:tcW w:w="4654" w:type="dxa"/>
            <w:gridSpan w:val="5"/>
            <w:tcBorders>
              <w:top w:val="single" w:color="000000" w:sz="4" w:space="0"/>
              <w:left w:val="single" w:color="000000" w:sz="4" w:space="0"/>
              <w:bottom w:val="single" w:color="000000" w:sz="4" w:space="0"/>
              <w:right w:val="single" w:color="000000" w:sz="4" w:space="0"/>
            </w:tcBorders>
            <w:noWrap w:val="0"/>
            <w:vAlign w:val="top"/>
          </w:tcPr>
          <w:p w14:paraId="30FB45C7">
            <w:pPr>
              <w:widowControl/>
              <w:spacing w:line="240" w:lineRule="exact"/>
              <w:jc w:val="left"/>
              <w:textAlignment w:val="top"/>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预算（财务）管理部门负责人（签章）</w:t>
            </w:r>
          </w:p>
          <w:p w14:paraId="47A99E2B">
            <w:pPr>
              <w:widowControl/>
              <w:spacing w:line="240" w:lineRule="exact"/>
              <w:jc w:val="right"/>
              <w:textAlignment w:val="top"/>
              <w:rPr>
                <w:rFonts w:hint="eastAsia" w:ascii="宋体" w:hAnsi="宋体" w:cs="宋体"/>
                <w:color w:val="000000"/>
                <w:sz w:val="16"/>
                <w:szCs w:val="16"/>
              </w:rPr>
            </w:pPr>
            <w:r>
              <w:rPr>
                <w:rFonts w:hint="eastAsia" w:ascii="宋体" w:hAnsi="宋体" w:cs="宋体"/>
                <w:color w:val="000000"/>
                <w:kern w:val="0"/>
                <w:sz w:val="16"/>
                <w:szCs w:val="16"/>
                <w:lang w:bidi="ar"/>
              </w:rPr>
              <w:t>年   月   日</w:t>
            </w:r>
          </w:p>
        </w:tc>
        <w:tc>
          <w:tcPr>
            <w:tcW w:w="4666" w:type="dxa"/>
            <w:gridSpan w:val="5"/>
            <w:vMerge w:val="continue"/>
            <w:tcBorders>
              <w:top w:val="single" w:color="000000" w:sz="4" w:space="0"/>
              <w:left w:val="single" w:color="000000" w:sz="4" w:space="0"/>
              <w:bottom w:val="single" w:color="000000" w:sz="4" w:space="0"/>
              <w:right w:val="single" w:color="000000" w:sz="4" w:space="0"/>
            </w:tcBorders>
            <w:noWrap w:val="0"/>
            <w:vAlign w:val="top"/>
          </w:tcPr>
          <w:p w14:paraId="08C942AE">
            <w:pPr>
              <w:spacing w:line="240" w:lineRule="exact"/>
              <w:rPr>
                <w:rFonts w:hint="eastAsia" w:ascii="宋体" w:hAnsi="宋体" w:cs="宋体"/>
                <w:color w:val="000000"/>
                <w:sz w:val="16"/>
                <w:szCs w:val="16"/>
              </w:rPr>
            </w:pPr>
          </w:p>
        </w:tc>
      </w:tr>
      <w:tr w14:paraId="728CDD84">
        <w:tblPrEx>
          <w:tblCellMar>
            <w:top w:w="0" w:type="dxa"/>
            <w:left w:w="108" w:type="dxa"/>
            <w:bottom w:w="0" w:type="dxa"/>
            <w:right w:w="108" w:type="dxa"/>
          </w:tblCellMar>
        </w:tblPrEx>
        <w:trPr>
          <w:trHeight w:val="620" w:hRule="atLeast"/>
        </w:trPr>
        <w:tc>
          <w:tcPr>
            <w:tcW w:w="1067" w:type="dxa"/>
            <w:vMerge w:val="restart"/>
            <w:tcBorders>
              <w:top w:val="single" w:color="000000" w:sz="4" w:space="0"/>
              <w:left w:val="single" w:color="000000" w:sz="4" w:space="0"/>
              <w:bottom w:val="single" w:color="000000" w:sz="4" w:space="0"/>
              <w:right w:val="single" w:color="000000" w:sz="4" w:space="0"/>
            </w:tcBorders>
            <w:noWrap w:val="0"/>
            <w:vAlign w:val="center"/>
          </w:tcPr>
          <w:p w14:paraId="40CF9D95">
            <w:pPr>
              <w:widowControl/>
              <w:spacing w:line="240" w:lineRule="exact"/>
              <w:jc w:val="center"/>
              <w:textAlignment w:val="center"/>
              <w:rPr>
                <w:rFonts w:hint="eastAsia" w:ascii="宋体" w:hAnsi="宋体" w:cs="宋体"/>
                <w:color w:val="000000"/>
                <w:sz w:val="18"/>
                <w:szCs w:val="18"/>
              </w:rPr>
            </w:pPr>
            <w:r>
              <w:rPr>
                <w:rFonts w:hint="eastAsia" w:ascii="宋体" w:hAnsi="宋体" w:cs="宋体"/>
                <w:color w:val="000000"/>
                <w:kern w:val="0"/>
                <w:sz w:val="16"/>
                <w:szCs w:val="16"/>
                <w:lang w:bidi="ar"/>
              </w:rPr>
              <w:t>接</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收</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方</w:t>
            </w:r>
          </w:p>
        </w:tc>
        <w:tc>
          <w:tcPr>
            <w:tcW w:w="1073" w:type="dxa"/>
            <w:tcBorders>
              <w:top w:val="single" w:color="000000" w:sz="4" w:space="0"/>
              <w:left w:val="single" w:color="000000" w:sz="4" w:space="0"/>
              <w:bottom w:val="single" w:color="000000" w:sz="4" w:space="0"/>
              <w:right w:val="single" w:color="000000" w:sz="4" w:space="0"/>
            </w:tcBorders>
            <w:noWrap w:val="0"/>
            <w:vAlign w:val="center"/>
          </w:tcPr>
          <w:p w14:paraId="3662812B">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单位意见</w:t>
            </w:r>
          </w:p>
        </w:tc>
        <w:tc>
          <w:tcPr>
            <w:tcW w:w="3700" w:type="dxa"/>
            <w:gridSpan w:val="4"/>
            <w:tcBorders>
              <w:top w:val="single" w:color="000000" w:sz="4" w:space="0"/>
              <w:left w:val="single" w:color="000000" w:sz="4" w:space="0"/>
              <w:bottom w:val="single" w:color="000000" w:sz="4" w:space="0"/>
              <w:right w:val="single" w:color="000000" w:sz="4" w:space="0"/>
            </w:tcBorders>
            <w:noWrap w:val="0"/>
            <w:vAlign w:val="top"/>
          </w:tcPr>
          <w:p w14:paraId="4D12A6A9">
            <w:pPr>
              <w:widowControl/>
              <w:spacing w:line="240" w:lineRule="exact"/>
              <w:jc w:val="left"/>
              <w:textAlignment w:val="top"/>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资产管理部门负责人（签章）</w:t>
            </w:r>
          </w:p>
          <w:p w14:paraId="7A43F5A8">
            <w:pPr>
              <w:widowControl/>
              <w:spacing w:line="240" w:lineRule="exact"/>
              <w:jc w:val="right"/>
              <w:textAlignment w:val="top"/>
              <w:rPr>
                <w:rFonts w:hint="eastAsia" w:ascii="宋体" w:hAnsi="宋体" w:cs="宋体"/>
                <w:color w:val="000000"/>
                <w:sz w:val="16"/>
                <w:szCs w:val="16"/>
              </w:rPr>
            </w:pPr>
            <w:r>
              <w:rPr>
                <w:rFonts w:hint="eastAsia" w:ascii="宋体" w:hAnsi="宋体" w:cs="宋体"/>
                <w:color w:val="000000"/>
                <w:kern w:val="0"/>
                <w:sz w:val="16"/>
                <w:szCs w:val="16"/>
                <w:lang w:bidi="ar"/>
              </w:rPr>
              <w:t>年</w:t>
            </w:r>
            <w:r>
              <w:rPr>
                <w:rFonts w:cs="Calibri"/>
                <w:color w:val="000000"/>
                <w:sz w:val="16"/>
                <w:szCs w:val="16"/>
                <w:lang w:bidi="ar"/>
              </w:rPr>
              <w:t xml:space="preserve">   </w:t>
            </w:r>
            <w:r>
              <w:rPr>
                <w:rFonts w:hint="eastAsia" w:ascii="宋体" w:hAnsi="宋体" w:cs="宋体"/>
                <w:color w:val="000000"/>
                <w:sz w:val="16"/>
                <w:szCs w:val="16"/>
                <w:lang w:bidi="ar"/>
              </w:rPr>
              <w:t>月</w:t>
            </w:r>
            <w:r>
              <w:rPr>
                <w:rFonts w:cs="Calibri"/>
                <w:color w:val="000000"/>
                <w:sz w:val="16"/>
                <w:szCs w:val="16"/>
                <w:lang w:bidi="ar"/>
              </w:rPr>
              <w:t xml:space="preserve">   </w:t>
            </w:r>
            <w:r>
              <w:rPr>
                <w:rFonts w:hint="eastAsia" w:ascii="宋体" w:hAnsi="宋体" w:cs="宋体"/>
                <w:color w:val="000000"/>
                <w:sz w:val="16"/>
                <w:szCs w:val="16"/>
                <w:lang w:bidi="ar"/>
              </w:rPr>
              <w:t>日</w:t>
            </w:r>
          </w:p>
        </w:tc>
        <w:tc>
          <w:tcPr>
            <w:tcW w:w="4654" w:type="dxa"/>
            <w:gridSpan w:val="5"/>
            <w:tcBorders>
              <w:top w:val="single" w:color="000000" w:sz="4" w:space="0"/>
              <w:left w:val="single" w:color="000000" w:sz="4" w:space="0"/>
              <w:bottom w:val="single" w:color="000000" w:sz="4" w:space="0"/>
              <w:right w:val="single" w:color="000000" w:sz="4" w:space="0"/>
            </w:tcBorders>
            <w:noWrap w:val="0"/>
            <w:vAlign w:val="top"/>
          </w:tcPr>
          <w:p w14:paraId="618E25F5">
            <w:pPr>
              <w:widowControl/>
              <w:spacing w:line="240" w:lineRule="exact"/>
              <w:jc w:val="left"/>
              <w:textAlignment w:val="top"/>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预算（财务）管理部门负责人（签章）</w:t>
            </w:r>
          </w:p>
          <w:p w14:paraId="5BDD0230">
            <w:pPr>
              <w:widowControl/>
              <w:spacing w:line="240" w:lineRule="exact"/>
              <w:jc w:val="right"/>
              <w:textAlignment w:val="top"/>
              <w:rPr>
                <w:rFonts w:hint="eastAsia" w:ascii="宋体" w:hAnsi="宋体" w:cs="宋体"/>
                <w:color w:val="000000"/>
                <w:sz w:val="16"/>
                <w:szCs w:val="16"/>
              </w:rPr>
            </w:pPr>
            <w:r>
              <w:rPr>
                <w:rFonts w:hint="eastAsia" w:ascii="宋体" w:hAnsi="宋体" w:cs="宋体"/>
                <w:color w:val="000000"/>
                <w:kern w:val="0"/>
                <w:sz w:val="16"/>
                <w:szCs w:val="16"/>
                <w:lang w:bidi="ar"/>
              </w:rPr>
              <w:t>年   月   日</w:t>
            </w:r>
          </w:p>
        </w:tc>
        <w:tc>
          <w:tcPr>
            <w:tcW w:w="4666" w:type="dxa"/>
            <w:gridSpan w:val="5"/>
            <w:vMerge w:val="restart"/>
            <w:tcBorders>
              <w:top w:val="single" w:color="000000" w:sz="4" w:space="0"/>
              <w:left w:val="single" w:color="000000" w:sz="4" w:space="0"/>
              <w:bottom w:val="single" w:color="000000" w:sz="4" w:space="0"/>
              <w:right w:val="single" w:color="000000" w:sz="4" w:space="0"/>
            </w:tcBorders>
            <w:noWrap w:val="0"/>
            <w:vAlign w:val="top"/>
          </w:tcPr>
          <w:p w14:paraId="3928065E">
            <w:pPr>
              <w:widowControl/>
              <w:spacing w:line="240" w:lineRule="exact"/>
              <w:jc w:val="left"/>
              <w:textAlignment w:val="top"/>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单位负责人（签章）</w:t>
            </w:r>
          </w:p>
          <w:p w14:paraId="632E1180">
            <w:pPr>
              <w:widowControl/>
              <w:spacing w:line="240" w:lineRule="exact"/>
              <w:jc w:val="right"/>
              <w:textAlignment w:val="top"/>
              <w:rPr>
                <w:rFonts w:hint="eastAsia" w:ascii="宋体" w:hAnsi="宋体" w:cs="宋体"/>
                <w:color w:val="000000"/>
                <w:kern w:val="0"/>
                <w:sz w:val="16"/>
                <w:szCs w:val="16"/>
                <w:lang w:bidi="ar"/>
              </w:rPr>
            </w:pPr>
          </w:p>
          <w:p w14:paraId="6B6871D1">
            <w:pPr>
              <w:widowControl/>
              <w:spacing w:line="240" w:lineRule="exact"/>
              <w:jc w:val="right"/>
              <w:textAlignment w:val="top"/>
              <w:rPr>
                <w:rFonts w:hint="eastAsia" w:ascii="宋体" w:hAnsi="宋体" w:cs="宋体"/>
                <w:color w:val="000000"/>
                <w:kern w:val="0"/>
                <w:sz w:val="16"/>
                <w:szCs w:val="16"/>
                <w:lang w:bidi="ar"/>
              </w:rPr>
            </w:pPr>
          </w:p>
          <w:p w14:paraId="3626D3DD">
            <w:pPr>
              <w:widowControl/>
              <w:spacing w:line="240" w:lineRule="exact"/>
              <w:jc w:val="right"/>
              <w:textAlignment w:val="top"/>
              <w:rPr>
                <w:rFonts w:hint="eastAsia" w:ascii="宋体" w:hAnsi="宋体" w:cs="宋体"/>
                <w:color w:val="000000"/>
                <w:kern w:val="0"/>
                <w:sz w:val="16"/>
                <w:szCs w:val="16"/>
                <w:lang w:bidi="ar"/>
              </w:rPr>
            </w:pPr>
          </w:p>
          <w:p w14:paraId="5951760C">
            <w:pPr>
              <w:widowControl/>
              <w:spacing w:line="240" w:lineRule="exact"/>
              <w:jc w:val="right"/>
              <w:textAlignment w:val="top"/>
              <w:rPr>
                <w:rFonts w:hint="eastAsia" w:ascii="宋体" w:hAnsi="宋体" w:cs="宋体"/>
                <w:color w:val="000000"/>
                <w:sz w:val="16"/>
                <w:szCs w:val="16"/>
              </w:rPr>
            </w:pPr>
            <w:r>
              <w:rPr>
                <w:rFonts w:hint="eastAsia" w:ascii="宋体" w:hAnsi="宋体" w:cs="宋体"/>
                <w:color w:val="000000"/>
                <w:kern w:val="0"/>
                <w:sz w:val="16"/>
                <w:szCs w:val="16"/>
                <w:lang w:bidi="ar"/>
              </w:rPr>
              <w:t>年</w:t>
            </w:r>
            <w:r>
              <w:rPr>
                <w:rFonts w:cs="Calibri"/>
                <w:color w:val="000000"/>
                <w:sz w:val="16"/>
                <w:szCs w:val="16"/>
                <w:lang w:bidi="ar"/>
              </w:rPr>
              <w:t xml:space="preserve">   </w:t>
            </w:r>
            <w:r>
              <w:rPr>
                <w:rFonts w:hint="eastAsia" w:ascii="宋体" w:hAnsi="宋体" w:cs="宋体"/>
                <w:color w:val="000000"/>
                <w:sz w:val="16"/>
                <w:szCs w:val="16"/>
                <w:lang w:bidi="ar"/>
              </w:rPr>
              <w:t>月</w:t>
            </w:r>
            <w:r>
              <w:rPr>
                <w:rFonts w:cs="Calibri"/>
                <w:color w:val="000000"/>
                <w:sz w:val="16"/>
                <w:szCs w:val="16"/>
                <w:lang w:bidi="ar"/>
              </w:rPr>
              <w:t xml:space="preserve">   </w:t>
            </w:r>
            <w:r>
              <w:rPr>
                <w:rFonts w:hint="eastAsia" w:ascii="宋体" w:hAnsi="宋体" w:cs="宋体"/>
                <w:color w:val="000000"/>
                <w:sz w:val="16"/>
                <w:szCs w:val="16"/>
                <w:lang w:bidi="ar"/>
              </w:rPr>
              <w:t>日</w:t>
            </w:r>
          </w:p>
        </w:tc>
      </w:tr>
      <w:tr w14:paraId="62FABEE4">
        <w:tblPrEx>
          <w:tblCellMar>
            <w:top w:w="0" w:type="dxa"/>
            <w:left w:w="108" w:type="dxa"/>
            <w:bottom w:w="0" w:type="dxa"/>
            <w:right w:w="108" w:type="dxa"/>
          </w:tblCellMar>
        </w:tblPrEx>
        <w:trPr>
          <w:trHeight w:val="740" w:hRule="atLeast"/>
        </w:trPr>
        <w:tc>
          <w:tcPr>
            <w:tcW w:w="106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075591">
            <w:pPr>
              <w:spacing w:line="240" w:lineRule="exact"/>
              <w:jc w:val="center"/>
              <w:rPr>
                <w:rFonts w:hint="eastAsia" w:ascii="宋体" w:hAnsi="宋体" w:cs="宋体"/>
                <w:color w:val="000000"/>
                <w:sz w:val="18"/>
                <w:szCs w:val="18"/>
              </w:rPr>
            </w:pPr>
          </w:p>
        </w:tc>
        <w:tc>
          <w:tcPr>
            <w:tcW w:w="1073" w:type="dxa"/>
            <w:tcBorders>
              <w:top w:val="single" w:color="000000" w:sz="4" w:space="0"/>
              <w:left w:val="single" w:color="000000" w:sz="4" w:space="0"/>
              <w:bottom w:val="single" w:color="000000" w:sz="4" w:space="0"/>
              <w:right w:val="single" w:color="000000" w:sz="4" w:space="0"/>
            </w:tcBorders>
            <w:noWrap w:val="0"/>
            <w:vAlign w:val="center"/>
          </w:tcPr>
          <w:p w14:paraId="683F251B">
            <w:pPr>
              <w:widowControl/>
              <w:spacing w:line="240" w:lineRule="exact"/>
              <w:jc w:val="center"/>
              <w:textAlignment w:val="center"/>
              <w:rPr>
                <w:rFonts w:hint="eastAsia" w:ascii="宋体" w:hAnsi="宋体" w:cs="宋体"/>
                <w:color w:val="000000"/>
                <w:sz w:val="16"/>
                <w:szCs w:val="16"/>
              </w:rPr>
            </w:pPr>
            <w:r>
              <w:rPr>
                <w:rFonts w:hint="eastAsia" w:ascii="宋体" w:hAnsi="宋体" w:cs="宋体"/>
                <w:color w:val="000000"/>
                <w:kern w:val="0"/>
                <w:sz w:val="16"/>
                <w:szCs w:val="16"/>
                <w:lang w:bidi="ar"/>
              </w:rPr>
              <w:t>主管部门</w:t>
            </w:r>
            <w:r>
              <w:rPr>
                <w:rFonts w:hint="eastAsia" w:ascii="宋体" w:hAnsi="宋体" w:cs="宋体"/>
                <w:color w:val="000000"/>
                <w:kern w:val="0"/>
                <w:sz w:val="16"/>
                <w:szCs w:val="16"/>
                <w:lang w:bidi="ar"/>
              </w:rPr>
              <w:br w:type="textWrapping"/>
            </w:r>
            <w:r>
              <w:rPr>
                <w:rFonts w:hint="eastAsia" w:ascii="宋体" w:hAnsi="宋体" w:cs="宋体"/>
                <w:color w:val="000000"/>
                <w:kern w:val="0"/>
                <w:sz w:val="16"/>
                <w:szCs w:val="16"/>
                <w:lang w:bidi="ar"/>
              </w:rPr>
              <w:t>审核意见</w:t>
            </w:r>
          </w:p>
        </w:tc>
        <w:tc>
          <w:tcPr>
            <w:tcW w:w="3700" w:type="dxa"/>
            <w:gridSpan w:val="4"/>
            <w:tcBorders>
              <w:top w:val="single" w:color="000000" w:sz="4" w:space="0"/>
              <w:left w:val="single" w:color="000000" w:sz="4" w:space="0"/>
              <w:bottom w:val="single" w:color="000000" w:sz="4" w:space="0"/>
              <w:right w:val="single" w:color="000000" w:sz="4" w:space="0"/>
            </w:tcBorders>
            <w:noWrap w:val="0"/>
            <w:vAlign w:val="top"/>
          </w:tcPr>
          <w:p w14:paraId="1DFC9561">
            <w:pPr>
              <w:widowControl/>
              <w:spacing w:line="240" w:lineRule="exact"/>
              <w:jc w:val="left"/>
              <w:textAlignment w:val="top"/>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资产管理部门负责人（签章）</w:t>
            </w:r>
          </w:p>
          <w:p w14:paraId="3C8EFEF4">
            <w:pPr>
              <w:widowControl/>
              <w:spacing w:line="240" w:lineRule="exact"/>
              <w:jc w:val="right"/>
              <w:textAlignment w:val="top"/>
              <w:rPr>
                <w:rFonts w:hint="eastAsia" w:ascii="宋体" w:hAnsi="宋体" w:cs="宋体"/>
                <w:color w:val="000000"/>
                <w:sz w:val="16"/>
                <w:szCs w:val="16"/>
              </w:rPr>
            </w:pPr>
            <w:r>
              <w:rPr>
                <w:rFonts w:hint="eastAsia" w:ascii="宋体" w:hAnsi="宋体" w:cs="宋体"/>
                <w:color w:val="000000"/>
                <w:kern w:val="0"/>
                <w:sz w:val="16"/>
                <w:szCs w:val="16"/>
                <w:lang w:bidi="ar"/>
              </w:rPr>
              <w:t>年</w:t>
            </w:r>
            <w:r>
              <w:rPr>
                <w:rFonts w:cs="Calibri"/>
                <w:color w:val="000000"/>
                <w:sz w:val="16"/>
                <w:szCs w:val="16"/>
                <w:lang w:bidi="ar"/>
              </w:rPr>
              <w:t xml:space="preserve">   </w:t>
            </w:r>
            <w:r>
              <w:rPr>
                <w:rFonts w:hint="eastAsia" w:ascii="宋体" w:hAnsi="宋体" w:cs="宋体"/>
                <w:color w:val="000000"/>
                <w:sz w:val="16"/>
                <w:szCs w:val="16"/>
                <w:lang w:bidi="ar"/>
              </w:rPr>
              <w:t>月</w:t>
            </w:r>
            <w:r>
              <w:rPr>
                <w:rFonts w:cs="Calibri"/>
                <w:color w:val="000000"/>
                <w:sz w:val="16"/>
                <w:szCs w:val="16"/>
                <w:lang w:bidi="ar"/>
              </w:rPr>
              <w:t xml:space="preserve">   </w:t>
            </w:r>
            <w:r>
              <w:rPr>
                <w:rFonts w:hint="eastAsia" w:ascii="宋体" w:hAnsi="宋体" w:cs="宋体"/>
                <w:color w:val="000000"/>
                <w:sz w:val="16"/>
                <w:szCs w:val="16"/>
                <w:lang w:bidi="ar"/>
              </w:rPr>
              <w:t>日</w:t>
            </w:r>
          </w:p>
        </w:tc>
        <w:tc>
          <w:tcPr>
            <w:tcW w:w="4654" w:type="dxa"/>
            <w:gridSpan w:val="5"/>
            <w:tcBorders>
              <w:top w:val="single" w:color="000000" w:sz="4" w:space="0"/>
              <w:left w:val="single" w:color="000000" w:sz="4" w:space="0"/>
              <w:bottom w:val="single" w:color="000000" w:sz="4" w:space="0"/>
              <w:right w:val="single" w:color="000000" w:sz="4" w:space="0"/>
            </w:tcBorders>
            <w:noWrap w:val="0"/>
            <w:vAlign w:val="top"/>
          </w:tcPr>
          <w:p w14:paraId="1496A15C">
            <w:pPr>
              <w:widowControl/>
              <w:spacing w:line="240" w:lineRule="exact"/>
              <w:jc w:val="left"/>
              <w:textAlignment w:val="top"/>
              <w:rPr>
                <w:rFonts w:hint="eastAsia" w:ascii="宋体" w:hAnsi="宋体" w:cs="宋体"/>
                <w:color w:val="000000"/>
                <w:kern w:val="0"/>
                <w:sz w:val="16"/>
                <w:szCs w:val="16"/>
                <w:lang w:bidi="ar"/>
              </w:rPr>
            </w:pPr>
            <w:r>
              <w:rPr>
                <w:rFonts w:hint="eastAsia" w:ascii="宋体" w:hAnsi="宋体" w:cs="宋体"/>
                <w:color w:val="000000"/>
                <w:kern w:val="0"/>
                <w:sz w:val="16"/>
                <w:szCs w:val="16"/>
                <w:lang w:bidi="ar"/>
              </w:rPr>
              <w:t>预算（财务）管理部门负责人（签章）</w:t>
            </w:r>
          </w:p>
          <w:p w14:paraId="15BB4694">
            <w:pPr>
              <w:widowControl/>
              <w:spacing w:line="240" w:lineRule="exact"/>
              <w:jc w:val="right"/>
              <w:textAlignment w:val="top"/>
              <w:rPr>
                <w:rFonts w:hint="eastAsia" w:ascii="宋体" w:hAnsi="宋体" w:cs="宋体"/>
                <w:color w:val="000000"/>
                <w:sz w:val="16"/>
                <w:szCs w:val="16"/>
              </w:rPr>
            </w:pPr>
            <w:r>
              <w:rPr>
                <w:rFonts w:hint="eastAsia" w:ascii="宋体" w:hAnsi="宋体" w:cs="宋体"/>
                <w:color w:val="000000"/>
                <w:kern w:val="0"/>
                <w:sz w:val="16"/>
                <w:szCs w:val="16"/>
                <w:lang w:bidi="ar"/>
              </w:rPr>
              <w:t>年   月   日</w:t>
            </w:r>
          </w:p>
        </w:tc>
        <w:tc>
          <w:tcPr>
            <w:tcW w:w="4666" w:type="dxa"/>
            <w:gridSpan w:val="5"/>
            <w:vMerge w:val="continue"/>
            <w:tcBorders>
              <w:top w:val="single" w:color="000000" w:sz="4" w:space="0"/>
              <w:left w:val="single" w:color="000000" w:sz="4" w:space="0"/>
              <w:bottom w:val="single" w:color="000000" w:sz="4" w:space="0"/>
              <w:right w:val="single" w:color="000000" w:sz="4" w:space="0"/>
            </w:tcBorders>
            <w:noWrap w:val="0"/>
            <w:vAlign w:val="top"/>
          </w:tcPr>
          <w:p w14:paraId="47B3C501">
            <w:pPr>
              <w:spacing w:line="240" w:lineRule="exact"/>
              <w:rPr>
                <w:rFonts w:hint="eastAsia" w:ascii="宋体" w:hAnsi="宋体" w:cs="宋体"/>
                <w:color w:val="000000"/>
                <w:sz w:val="16"/>
                <w:szCs w:val="16"/>
              </w:rPr>
            </w:pPr>
          </w:p>
        </w:tc>
      </w:tr>
      <w:tr w14:paraId="2AED7609">
        <w:tblPrEx>
          <w:tblCellMar>
            <w:top w:w="0" w:type="dxa"/>
            <w:left w:w="108" w:type="dxa"/>
            <w:bottom w:w="0" w:type="dxa"/>
            <w:right w:w="108" w:type="dxa"/>
          </w:tblCellMar>
        </w:tblPrEx>
        <w:trPr>
          <w:trHeight w:val="2258" w:hRule="atLeast"/>
        </w:trPr>
        <w:tc>
          <w:tcPr>
            <w:tcW w:w="15160" w:type="dxa"/>
            <w:gridSpan w:val="16"/>
            <w:tcBorders>
              <w:top w:val="nil"/>
              <w:left w:val="nil"/>
              <w:bottom w:val="nil"/>
              <w:right w:val="nil"/>
            </w:tcBorders>
            <w:noWrap w:val="0"/>
            <w:vAlign w:val="center"/>
          </w:tcPr>
          <w:p w14:paraId="72738864">
            <w:pPr>
              <w:widowControl/>
              <w:spacing w:line="240" w:lineRule="exact"/>
              <w:jc w:val="left"/>
              <w:textAlignment w:val="center"/>
              <w:rPr>
                <w:rFonts w:hint="eastAsia" w:ascii="宋体" w:hAnsi="宋体" w:cs="宋体"/>
                <w:color w:val="000000"/>
                <w:kern w:val="0"/>
                <w:sz w:val="18"/>
                <w:szCs w:val="18"/>
                <w:lang w:bidi="ar"/>
              </w:rPr>
            </w:pPr>
          </w:p>
          <w:p w14:paraId="24A53A52">
            <w:pPr>
              <w:widowControl/>
              <w:spacing w:line="240" w:lineRule="exact"/>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说明：</w:t>
            </w:r>
          </w:p>
          <w:p w14:paraId="4DF78777">
            <w:pPr>
              <w:widowControl/>
              <w:spacing w:line="240" w:lineRule="exact"/>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1.本表适用于行政事业单位国有资产无偿划转、对外捐赠等处置事项申请。</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资产类别：（1）固定资产包括房屋及构筑物、车辆、设备、文物资源、图书档案、家具用具、动植物、其他；（2）无形资产包括专利权、非专利技术、著作权、资源资质、商标权、信息数据、其他；（3）对外投资包括短期投资、长期股权投资、长期债券投资；（4）其他资产。</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3.资产处置方式：（1）部门所属单位之间的划转；（2）跨部门之间的划转；（3）跨级次单位之间的划转；（4）对外捐赠；（5）其他。</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4.表中资产类别、资产处置方式等用填表说明中最末级标准名称填写，选填“其他”的，需在备注栏进行说明。</w:t>
            </w:r>
          </w:p>
        </w:tc>
      </w:tr>
    </w:tbl>
    <w:p w14:paraId="2BFA0F17">
      <w:pPr>
        <w:spacing w:line="560" w:lineRule="exact"/>
        <w:rPr>
          <w:rFonts w:hint="eastAsia" w:ascii="黑体" w:hAnsi="黑体" w:eastAsia="黑体" w:cs="黑体"/>
          <w:color w:val="000000"/>
          <w:kern w:val="0"/>
          <w:sz w:val="32"/>
          <w:szCs w:val="32"/>
        </w:rPr>
      </w:pPr>
    </w:p>
    <w:p w14:paraId="067F2639">
      <w:pPr>
        <w:spacing w:line="560" w:lineRule="exact"/>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附件2</w:t>
      </w:r>
    </w:p>
    <w:p w14:paraId="1A884308">
      <w:pPr>
        <w:spacing w:line="560" w:lineRule="exact"/>
        <w:jc w:val="center"/>
        <w:rPr>
          <w:rFonts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eastAsia="zh-CN" w:bidi="ar"/>
        </w:rPr>
        <w:t>咸宁市市直</w:t>
      </w:r>
      <w:r>
        <w:rPr>
          <w:rFonts w:hint="eastAsia" w:ascii="方正小标宋简体" w:hAnsi="方正小标宋简体" w:eastAsia="方正小标宋简体" w:cs="方正小标宋简体"/>
          <w:color w:val="000000"/>
          <w:kern w:val="0"/>
          <w:sz w:val="36"/>
          <w:szCs w:val="36"/>
          <w:lang w:bidi="ar"/>
        </w:rPr>
        <w:t>行政事业单位国有资产转让等申请表</w:t>
      </w:r>
    </w:p>
    <w:tbl>
      <w:tblPr>
        <w:tblStyle w:val="17"/>
        <w:tblW w:w="0" w:type="auto"/>
        <w:jc w:val="center"/>
        <w:tblLayout w:type="fixed"/>
        <w:tblCellMar>
          <w:top w:w="0" w:type="dxa"/>
          <w:left w:w="108" w:type="dxa"/>
          <w:bottom w:w="0" w:type="dxa"/>
          <w:right w:w="108" w:type="dxa"/>
        </w:tblCellMar>
      </w:tblPr>
      <w:tblGrid>
        <w:gridCol w:w="1111"/>
        <w:gridCol w:w="807"/>
        <w:gridCol w:w="1028"/>
        <w:gridCol w:w="1010"/>
        <w:gridCol w:w="850"/>
        <w:gridCol w:w="5"/>
        <w:gridCol w:w="1151"/>
        <w:gridCol w:w="1232"/>
        <w:gridCol w:w="1107"/>
        <w:gridCol w:w="11"/>
        <w:gridCol w:w="1008"/>
        <w:gridCol w:w="1307"/>
        <w:gridCol w:w="18"/>
        <w:gridCol w:w="696"/>
        <w:gridCol w:w="18"/>
        <w:gridCol w:w="1214"/>
        <w:gridCol w:w="18"/>
        <w:gridCol w:w="701"/>
        <w:gridCol w:w="1201"/>
        <w:gridCol w:w="972"/>
      </w:tblGrid>
      <w:tr w14:paraId="32CA3F56">
        <w:tblPrEx>
          <w:tblCellMar>
            <w:top w:w="0" w:type="dxa"/>
            <w:left w:w="108" w:type="dxa"/>
            <w:bottom w:w="0" w:type="dxa"/>
            <w:right w:w="108" w:type="dxa"/>
          </w:tblCellMar>
        </w:tblPrEx>
        <w:trPr>
          <w:trHeight w:val="303" w:hRule="atLeast"/>
          <w:jc w:val="center"/>
        </w:trPr>
        <w:tc>
          <w:tcPr>
            <w:tcW w:w="1918" w:type="dxa"/>
            <w:gridSpan w:val="2"/>
            <w:tcBorders>
              <w:top w:val="nil"/>
              <w:left w:val="nil"/>
              <w:bottom w:val="nil"/>
              <w:right w:val="nil"/>
            </w:tcBorders>
            <w:noWrap w:val="0"/>
            <w:vAlign w:val="center"/>
          </w:tcPr>
          <w:p w14:paraId="5F22DD24">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申报单位（签章）</w:t>
            </w:r>
          </w:p>
        </w:tc>
        <w:tc>
          <w:tcPr>
            <w:tcW w:w="2038" w:type="dxa"/>
            <w:gridSpan w:val="2"/>
            <w:tcBorders>
              <w:top w:val="nil"/>
              <w:left w:val="nil"/>
              <w:bottom w:val="nil"/>
              <w:right w:val="nil"/>
            </w:tcBorders>
            <w:noWrap w:val="0"/>
            <w:vAlign w:val="center"/>
          </w:tcPr>
          <w:p w14:paraId="3BA9D5D5">
            <w:pPr>
              <w:jc w:val="center"/>
              <w:rPr>
                <w:rFonts w:hint="eastAsia" w:ascii="宋体" w:hAnsi="宋体" w:cs="宋体"/>
                <w:color w:val="000000"/>
                <w:sz w:val="20"/>
                <w:szCs w:val="20"/>
              </w:rPr>
            </w:pPr>
          </w:p>
        </w:tc>
        <w:tc>
          <w:tcPr>
            <w:tcW w:w="6689" w:type="dxa"/>
            <w:gridSpan w:val="9"/>
            <w:tcBorders>
              <w:top w:val="nil"/>
              <w:left w:val="nil"/>
              <w:bottom w:val="nil"/>
              <w:right w:val="nil"/>
            </w:tcBorders>
            <w:noWrap w:val="0"/>
            <w:vAlign w:val="center"/>
          </w:tcPr>
          <w:p w14:paraId="6C9A57FE">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申报日期:  年 月 日</w:t>
            </w:r>
          </w:p>
        </w:tc>
        <w:tc>
          <w:tcPr>
            <w:tcW w:w="714" w:type="dxa"/>
            <w:gridSpan w:val="2"/>
            <w:tcBorders>
              <w:top w:val="nil"/>
              <w:left w:val="nil"/>
              <w:bottom w:val="nil"/>
              <w:right w:val="nil"/>
            </w:tcBorders>
            <w:noWrap w:val="0"/>
            <w:vAlign w:val="center"/>
          </w:tcPr>
          <w:p w14:paraId="05135FAE">
            <w:pPr>
              <w:rPr>
                <w:rFonts w:hint="eastAsia" w:ascii="宋体" w:hAnsi="宋体" w:cs="宋体"/>
                <w:color w:val="000000"/>
                <w:sz w:val="20"/>
                <w:szCs w:val="20"/>
              </w:rPr>
            </w:pPr>
          </w:p>
        </w:tc>
        <w:tc>
          <w:tcPr>
            <w:tcW w:w="1232" w:type="dxa"/>
            <w:gridSpan w:val="2"/>
            <w:tcBorders>
              <w:top w:val="nil"/>
              <w:left w:val="nil"/>
              <w:bottom w:val="nil"/>
              <w:right w:val="nil"/>
            </w:tcBorders>
            <w:noWrap w:val="0"/>
            <w:vAlign w:val="center"/>
          </w:tcPr>
          <w:p w14:paraId="723A9D10">
            <w:pPr>
              <w:rPr>
                <w:rFonts w:hint="eastAsia" w:ascii="宋体" w:hAnsi="宋体" w:cs="宋体"/>
                <w:color w:val="000000"/>
                <w:sz w:val="20"/>
                <w:szCs w:val="20"/>
              </w:rPr>
            </w:pPr>
          </w:p>
        </w:tc>
        <w:tc>
          <w:tcPr>
            <w:tcW w:w="701" w:type="dxa"/>
            <w:tcBorders>
              <w:top w:val="nil"/>
              <w:left w:val="nil"/>
              <w:bottom w:val="nil"/>
              <w:right w:val="nil"/>
            </w:tcBorders>
            <w:noWrap w:val="0"/>
            <w:vAlign w:val="center"/>
          </w:tcPr>
          <w:p w14:paraId="6763AEF1">
            <w:pPr>
              <w:rPr>
                <w:rFonts w:hint="eastAsia" w:ascii="宋体" w:hAnsi="宋体" w:cs="宋体"/>
                <w:color w:val="000000"/>
                <w:sz w:val="20"/>
                <w:szCs w:val="20"/>
              </w:rPr>
            </w:pPr>
          </w:p>
        </w:tc>
        <w:tc>
          <w:tcPr>
            <w:tcW w:w="2173" w:type="dxa"/>
            <w:gridSpan w:val="2"/>
            <w:tcBorders>
              <w:top w:val="nil"/>
              <w:left w:val="nil"/>
              <w:bottom w:val="nil"/>
              <w:right w:val="nil"/>
            </w:tcBorders>
            <w:noWrap w:val="0"/>
            <w:vAlign w:val="center"/>
          </w:tcPr>
          <w:p w14:paraId="158CA05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金额：万元</w:t>
            </w:r>
          </w:p>
        </w:tc>
      </w:tr>
      <w:tr w14:paraId="506767D0">
        <w:tblPrEx>
          <w:tblCellMar>
            <w:top w:w="0" w:type="dxa"/>
            <w:left w:w="108" w:type="dxa"/>
            <w:bottom w:w="0" w:type="dxa"/>
            <w:right w:w="108" w:type="dxa"/>
          </w:tblCellMar>
        </w:tblPrEx>
        <w:trPr>
          <w:trHeight w:val="318" w:hRule="atLeast"/>
          <w:jc w:val="center"/>
        </w:trPr>
        <w:tc>
          <w:tcPr>
            <w:tcW w:w="11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CEBA4B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序号</w:t>
            </w:r>
          </w:p>
        </w:tc>
        <w:tc>
          <w:tcPr>
            <w:tcW w:w="807" w:type="dxa"/>
            <w:vMerge w:val="restart"/>
            <w:tcBorders>
              <w:top w:val="single" w:color="000000" w:sz="4" w:space="0"/>
              <w:left w:val="single" w:color="000000" w:sz="4" w:space="0"/>
              <w:bottom w:val="single" w:color="000000" w:sz="4" w:space="0"/>
              <w:right w:val="single" w:color="000000" w:sz="4" w:space="0"/>
            </w:tcBorders>
            <w:noWrap w:val="0"/>
            <w:vAlign w:val="center"/>
          </w:tcPr>
          <w:p w14:paraId="61A72C9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资产名称</w:t>
            </w:r>
          </w:p>
        </w:tc>
        <w:tc>
          <w:tcPr>
            <w:tcW w:w="1028" w:type="dxa"/>
            <w:vMerge w:val="restart"/>
            <w:tcBorders>
              <w:top w:val="single" w:color="000000" w:sz="4" w:space="0"/>
              <w:left w:val="single" w:color="000000" w:sz="4" w:space="0"/>
              <w:bottom w:val="single" w:color="000000" w:sz="4" w:space="0"/>
              <w:right w:val="single" w:color="000000" w:sz="4" w:space="0"/>
            </w:tcBorders>
            <w:noWrap w:val="0"/>
            <w:vAlign w:val="center"/>
          </w:tcPr>
          <w:p w14:paraId="2E1F567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资产卡片编号</w:t>
            </w:r>
          </w:p>
        </w:tc>
        <w:tc>
          <w:tcPr>
            <w:tcW w:w="1010" w:type="dxa"/>
            <w:vMerge w:val="restart"/>
            <w:tcBorders>
              <w:top w:val="single" w:color="000000" w:sz="4" w:space="0"/>
              <w:left w:val="single" w:color="000000" w:sz="4" w:space="0"/>
              <w:bottom w:val="single" w:color="000000" w:sz="4" w:space="0"/>
              <w:right w:val="single" w:color="000000" w:sz="4" w:space="0"/>
            </w:tcBorders>
            <w:noWrap w:val="0"/>
            <w:vAlign w:val="center"/>
          </w:tcPr>
          <w:p w14:paraId="3BEE3943">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资产分类代码</w:t>
            </w:r>
          </w:p>
        </w:tc>
        <w:tc>
          <w:tcPr>
            <w:tcW w:w="8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CE6FDF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资产分类名称</w:t>
            </w:r>
          </w:p>
        </w:tc>
        <w:tc>
          <w:tcPr>
            <w:tcW w:w="1156"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3D2A24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规格型号</w:t>
            </w:r>
          </w:p>
        </w:tc>
        <w:tc>
          <w:tcPr>
            <w:tcW w:w="1232" w:type="dxa"/>
            <w:vMerge w:val="restart"/>
            <w:tcBorders>
              <w:top w:val="single" w:color="000000" w:sz="4" w:space="0"/>
              <w:left w:val="single" w:color="000000" w:sz="4" w:space="0"/>
              <w:bottom w:val="single" w:color="000000" w:sz="4" w:space="0"/>
              <w:right w:val="single" w:color="000000" w:sz="4" w:space="0"/>
            </w:tcBorders>
            <w:noWrap w:val="0"/>
            <w:vAlign w:val="center"/>
          </w:tcPr>
          <w:p w14:paraId="6F36DFFF">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数量/面积（股份）</w:t>
            </w:r>
          </w:p>
        </w:tc>
        <w:tc>
          <w:tcPr>
            <w:tcW w:w="1107" w:type="dxa"/>
            <w:vMerge w:val="restart"/>
            <w:tcBorders>
              <w:top w:val="single" w:color="000000" w:sz="4" w:space="0"/>
              <w:left w:val="single" w:color="000000" w:sz="4" w:space="0"/>
              <w:bottom w:val="single" w:color="000000" w:sz="4" w:space="0"/>
              <w:right w:val="single" w:color="000000" w:sz="4" w:space="0"/>
            </w:tcBorders>
            <w:noWrap w:val="0"/>
            <w:vAlign w:val="center"/>
          </w:tcPr>
          <w:p w14:paraId="62A3D9C9">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计量单位</w:t>
            </w:r>
          </w:p>
        </w:tc>
        <w:tc>
          <w:tcPr>
            <w:tcW w:w="1019"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A4AD2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管理部门</w:t>
            </w:r>
          </w:p>
        </w:tc>
        <w:tc>
          <w:tcPr>
            <w:tcW w:w="1307" w:type="dxa"/>
            <w:vMerge w:val="restart"/>
            <w:tcBorders>
              <w:top w:val="single" w:color="000000" w:sz="4" w:space="0"/>
              <w:left w:val="single" w:color="000000" w:sz="4" w:space="0"/>
              <w:bottom w:val="single" w:color="000000" w:sz="4" w:space="0"/>
              <w:right w:val="single" w:color="000000" w:sz="4" w:space="0"/>
            </w:tcBorders>
            <w:noWrap w:val="0"/>
            <w:vAlign w:val="center"/>
          </w:tcPr>
          <w:p w14:paraId="3DB8198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取得</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（投资）日期</w:t>
            </w:r>
          </w:p>
        </w:tc>
        <w:tc>
          <w:tcPr>
            <w:tcW w:w="2665" w:type="dxa"/>
            <w:gridSpan w:val="6"/>
            <w:tcBorders>
              <w:top w:val="single" w:color="000000" w:sz="4" w:space="0"/>
              <w:left w:val="single" w:color="000000" w:sz="4" w:space="0"/>
              <w:bottom w:val="single" w:color="000000" w:sz="4" w:space="0"/>
              <w:right w:val="single" w:color="000000" w:sz="4" w:space="0"/>
            </w:tcBorders>
            <w:noWrap w:val="0"/>
            <w:vAlign w:val="center"/>
          </w:tcPr>
          <w:p w14:paraId="0225607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价值</w:t>
            </w:r>
          </w:p>
        </w:tc>
        <w:tc>
          <w:tcPr>
            <w:tcW w:w="1201" w:type="dxa"/>
            <w:vMerge w:val="restart"/>
            <w:tcBorders>
              <w:top w:val="single" w:color="000000" w:sz="4" w:space="0"/>
              <w:left w:val="single" w:color="000000" w:sz="4" w:space="0"/>
              <w:right w:val="single" w:color="000000" w:sz="4" w:space="0"/>
            </w:tcBorders>
            <w:noWrap w:val="0"/>
            <w:vAlign w:val="center"/>
          </w:tcPr>
          <w:p w14:paraId="7848D55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处置方式</w:t>
            </w:r>
          </w:p>
        </w:tc>
        <w:tc>
          <w:tcPr>
            <w:tcW w:w="972" w:type="dxa"/>
            <w:vMerge w:val="restart"/>
            <w:tcBorders>
              <w:top w:val="single" w:color="000000" w:sz="4" w:space="0"/>
              <w:left w:val="single" w:color="000000" w:sz="4" w:space="0"/>
              <w:right w:val="single" w:color="000000" w:sz="4" w:space="0"/>
            </w:tcBorders>
            <w:noWrap w:val="0"/>
            <w:vAlign w:val="center"/>
          </w:tcPr>
          <w:p w14:paraId="74C8454D">
            <w:pPr>
              <w:widowControl/>
              <w:jc w:val="center"/>
              <w:textAlignment w:val="center"/>
              <w:rPr>
                <w:rFonts w:hint="eastAsia" w:ascii="宋体" w:hAnsi="宋体" w:cs="宋体"/>
                <w:color w:val="000000"/>
                <w:kern w:val="0"/>
                <w:sz w:val="18"/>
                <w:szCs w:val="18"/>
                <w:lang w:bidi="ar"/>
              </w:rPr>
            </w:pPr>
          </w:p>
          <w:p w14:paraId="6DFB53C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备注</w:t>
            </w:r>
          </w:p>
        </w:tc>
      </w:tr>
      <w:tr w14:paraId="52690A7F">
        <w:tblPrEx>
          <w:tblCellMar>
            <w:top w:w="0" w:type="dxa"/>
            <w:left w:w="108" w:type="dxa"/>
            <w:bottom w:w="0" w:type="dxa"/>
            <w:right w:w="108" w:type="dxa"/>
          </w:tblCellMar>
        </w:tblPrEx>
        <w:trPr>
          <w:trHeight w:val="318" w:hRule="atLeast"/>
          <w:jc w:val="center"/>
        </w:trPr>
        <w:tc>
          <w:tcPr>
            <w:tcW w:w="11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2FDB1F">
            <w:pPr>
              <w:jc w:val="center"/>
              <w:rPr>
                <w:rFonts w:hint="eastAsia" w:ascii="宋体" w:hAnsi="宋体" w:cs="宋体"/>
                <w:color w:val="000000"/>
                <w:sz w:val="20"/>
                <w:szCs w:val="20"/>
              </w:rPr>
            </w:pPr>
          </w:p>
        </w:tc>
        <w:tc>
          <w:tcPr>
            <w:tcW w:w="8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47F3F7">
            <w:pPr>
              <w:jc w:val="center"/>
              <w:rPr>
                <w:rFonts w:hint="eastAsia" w:ascii="宋体" w:hAnsi="宋体" w:cs="宋体"/>
                <w:color w:val="000000"/>
                <w:sz w:val="20"/>
                <w:szCs w:val="20"/>
              </w:rPr>
            </w:pPr>
          </w:p>
        </w:tc>
        <w:tc>
          <w:tcPr>
            <w:tcW w:w="10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34B4C1">
            <w:pPr>
              <w:jc w:val="center"/>
              <w:rPr>
                <w:rFonts w:hint="eastAsia" w:ascii="宋体" w:hAnsi="宋体" w:cs="宋体"/>
                <w:color w:val="000000"/>
                <w:sz w:val="20"/>
                <w:szCs w:val="20"/>
              </w:rPr>
            </w:pPr>
          </w:p>
        </w:tc>
        <w:tc>
          <w:tcPr>
            <w:tcW w:w="101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16052C">
            <w:pPr>
              <w:jc w:val="center"/>
              <w:rPr>
                <w:rFonts w:hint="eastAsia" w:ascii="宋体" w:hAnsi="宋体" w:cs="宋体"/>
                <w:color w:val="000000"/>
                <w:sz w:val="20"/>
                <w:szCs w:val="20"/>
              </w:rPr>
            </w:pPr>
          </w:p>
        </w:tc>
        <w:tc>
          <w:tcPr>
            <w:tcW w:w="8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6513AB">
            <w:pPr>
              <w:jc w:val="center"/>
              <w:rPr>
                <w:rFonts w:hint="eastAsia" w:ascii="宋体" w:hAnsi="宋体" w:cs="宋体"/>
                <w:color w:val="000000"/>
                <w:sz w:val="20"/>
                <w:szCs w:val="20"/>
              </w:rPr>
            </w:pPr>
          </w:p>
        </w:tc>
        <w:tc>
          <w:tcPr>
            <w:tcW w:w="1156"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7DF69">
            <w:pPr>
              <w:jc w:val="center"/>
              <w:rPr>
                <w:rFonts w:hint="eastAsia" w:ascii="宋体" w:hAnsi="宋体" w:cs="宋体"/>
                <w:color w:val="000000"/>
                <w:sz w:val="20"/>
                <w:szCs w:val="20"/>
              </w:rPr>
            </w:pPr>
          </w:p>
        </w:tc>
        <w:tc>
          <w:tcPr>
            <w:tcW w:w="123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14CA63">
            <w:pPr>
              <w:jc w:val="center"/>
              <w:rPr>
                <w:rFonts w:hint="eastAsia" w:ascii="宋体" w:hAnsi="宋体" w:cs="宋体"/>
                <w:color w:val="000000"/>
                <w:sz w:val="20"/>
                <w:szCs w:val="20"/>
              </w:rPr>
            </w:pPr>
          </w:p>
        </w:tc>
        <w:tc>
          <w:tcPr>
            <w:tcW w:w="11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075B19">
            <w:pPr>
              <w:jc w:val="center"/>
              <w:rPr>
                <w:rFonts w:hint="eastAsia" w:ascii="宋体" w:hAnsi="宋体" w:cs="宋体"/>
                <w:color w:val="000000"/>
                <w:sz w:val="20"/>
                <w:szCs w:val="20"/>
              </w:rPr>
            </w:pPr>
          </w:p>
        </w:tc>
        <w:tc>
          <w:tcPr>
            <w:tcW w:w="1019"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781B42">
            <w:pPr>
              <w:jc w:val="center"/>
              <w:rPr>
                <w:rFonts w:hint="eastAsia" w:ascii="宋体" w:hAnsi="宋体" w:cs="宋体"/>
                <w:color w:val="000000"/>
                <w:sz w:val="20"/>
                <w:szCs w:val="20"/>
              </w:rPr>
            </w:pPr>
          </w:p>
        </w:tc>
        <w:tc>
          <w:tcPr>
            <w:tcW w:w="130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F9106B">
            <w:pPr>
              <w:jc w:val="center"/>
              <w:rPr>
                <w:rFonts w:hint="eastAsia" w:ascii="宋体" w:hAnsi="宋体" w:cs="宋体"/>
                <w:color w:val="000000"/>
                <w:sz w:val="20"/>
                <w:szCs w:val="20"/>
              </w:rPr>
            </w:pPr>
          </w:p>
        </w:tc>
        <w:tc>
          <w:tcPr>
            <w:tcW w:w="714" w:type="dxa"/>
            <w:gridSpan w:val="2"/>
            <w:tcBorders>
              <w:top w:val="single" w:color="000000" w:sz="4" w:space="0"/>
              <w:left w:val="single" w:color="000000" w:sz="4" w:space="0"/>
              <w:bottom w:val="single" w:color="000000" w:sz="4" w:space="0"/>
              <w:right w:val="single" w:color="000000" w:sz="4" w:space="0"/>
            </w:tcBorders>
            <w:noWrap w:val="0"/>
            <w:vAlign w:val="center"/>
          </w:tcPr>
          <w:p w14:paraId="02447CC7">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账面</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原值</w:t>
            </w:r>
          </w:p>
        </w:tc>
        <w:tc>
          <w:tcPr>
            <w:tcW w:w="1232" w:type="dxa"/>
            <w:gridSpan w:val="2"/>
            <w:tcBorders>
              <w:top w:val="single" w:color="000000" w:sz="4" w:space="0"/>
              <w:left w:val="single" w:color="000000" w:sz="4" w:space="0"/>
              <w:bottom w:val="single" w:color="000000" w:sz="4" w:space="0"/>
              <w:right w:val="single" w:color="000000" w:sz="4" w:space="0"/>
            </w:tcBorders>
            <w:noWrap w:val="0"/>
            <w:vAlign w:val="center"/>
          </w:tcPr>
          <w:p w14:paraId="4DB1245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累计折旧/</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摊销</w:t>
            </w:r>
          </w:p>
        </w:tc>
        <w:tc>
          <w:tcPr>
            <w:tcW w:w="719" w:type="dxa"/>
            <w:gridSpan w:val="2"/>
            <w:tcBorders>
              <w:top w:val="single" w:color="000000" w:sz="4" w:space="0"/>
              <w:left w:val="single" w:color="000000" w:sz="4" w:space="0"/>
              <w:bottom w:val="single" w:color="000000" w:sz="4" w:space="0"/>
              <w:right w:val="nil"/>
            </w:tcBorders>
            <w:noWrap w:val="0"/>
            <w:vAlign w:val="center"/>
          </w:tcPr>
          <w:p w14:paraId="7A3B17EF">
            <w:pPr>
              <w:widowControl/>
              <w:jc w:val="center"/>
              <w:textAlignment w:val="center"/>
              <w:rPr>
                <w:rFonts w:hint="eastAsia" w:ascii="宋体" w:hAnsi="宋体" w:cs="宋体"/>
                <w:color w:val="000000"/>
                <w:sz w:val="20"/>
                <w:szCs w:val="20"/>
              </w:rPr>
            </w:pPr>
            <w:r>
              <w:rPr>
                <w:rFonts w:hint="eastAsia" w:ascii="宋体" w:hAnsi="宋体" w:cs="宋体"/>
                <w:color w:val="000000"/>
                <w:kern w:val="0"/>
                <w:sz w:val="20"/>
                <w:szCs w:val="20"/>
                <w:lang w:bidi="ar"/>
              </w:rPr>
              <w:t>账面</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净值</w:t>
            </w:r>
          </w:p>
        </w:tc>
        <w:tc>
          <w:tcPr>
            <w:tcW w:w="1201" w:type="dxa"/>
            <w:vMerge w:val="continue"/>
            <w:tcBorders>
              <w:left w:val="single" w:color="000000" w:sz="4" w:space="0"/>
              <w:right w:val="single" w:color="000000" w:sz="4" w:space="0"/>
            </w:tcBorders>
            <w:noWrap w:val="0"/>
            <w:vAlign w:val="center"/>
          </w:tcPr>
          <w:p w14:paraId="3F3597B2">
            <w:pPr>
              <w:jc w:val="center"/>
              <w:rPr>
                <w:rFonts w:hint="eastAsia" w:ascii="宋体" w:hAnsi="宋体" w:cs="宋体"/>
                <w:color w:val="000000"/>
                <w:sz w:val="20"/>
                <w:szCs w:val="20"/>
              </w:rPr>
            </w:pPr>
          </w:p>
        </w:tc>
        <w:tc>
          <w:tcPr>
            <w:tcW w:w="972" w:type="dxa"/>
            <w:vMerge w:val="continue"/>
            <w:tcBorders>
              <w:left w:val="single" w:color="000000" w:sz="4" w:space="0"/>
              <w:right w:val="single" w:color="000000" w:sz="4" w:space="0"/>
            </w:tcBorders>
            <w:noWrap w:val="0"/>
            <w:vAlign w:val="center"/>
          </w:tcPr>
          <w:p w14:paraId="70A11563">
            <w:pPr>
              <w:jc w:val="center"/>
              <w:rPr>
                <w:rFonts w:hint="eastAsia" w:ascii="宋体" w:hAnsi="宋体" w:cs="宋体"/>
                <w:color w:val="000000"/>
                <w:sz w:val="20"/>
                <w:szCs w:val="20"/>
              </w:rPr>
            </w:pPr>
          </w:p>
        </w:tc>
      </w:tr>
      <w:tr w14:paraId="75C2F2B7">
        <w:tblPrEx>
          <w:tblCellMar>
            <w:top w:w="0" w:type="dxa"/>
            <w:left w:w="108" w:type="dxa"/>
            <w:bottom w:w="0" w:type="dxa"/>
            <w:right w:w="108" w:type="dxa"/>
          </w:tblCellMar>
        </w:tblPrEx>
        <w:trPr>
          <w:trHeight w:val="318" w:hRule="atLeast"/>
          <w:jc w:val="center"/>
        </w:trPr>
        <w:tc>
          <w:tcPr>
            <w:tcW w:w="1111" w:type="dxa"/>
            <w:tcBorders>
              <w:top w:val="single" w:color="000000" w:sz="4" w:space="0"/>
              <w:left w:val="single" w:color="000000" w:sz="4" w:space="0"/>
              <w:bottom w:val="single" w:color="000000" w:sz="4" w:space="0"/>
              <w:right w:val="single" w:color="000000" w:sz="4" w:space="0"/>
            </w:tcBorders>
            <w:noWrap w:val="0"/>
            <w:vAlign w:val="top"/>
          </w:tcPr>
          <w:p w14:paraId="117AED61">
            <w:pPr>
              <w:rPr>
                <w:rFonts w:hint="eastAsia" w:cs="Calibri"/>
                <w:color w:val="000000"/>
                <w:sz w:val="20"/>
                <w:szCs w:val="20"/>
              </w:rPr>
            </w:pPr>
          </w:p>
        </w:tc>
        <w:tc>
          <w:tcPr>
            <w:tcW w:w="807" w:type="dxa"/>
            <w:tcBorders>
              <w:top w:val="single" w:color="000000" w:sz="4" w:space="0"/>
              <w:left w:val="single" w:color="000000" w:sz="4" w:space="0"/>
              <w:bottom w:val="single" w:color="000000" w:sz="4" w:space="0"/>
              <w:right w:val="single" w:color="000000" w:sz="4" w:space="0"/>
            </w:tcBorders>
            <w:noWrap w:val="0"/>
            <w:vAlign w:val="top"/>
          </w:tcPr>
          <w:p w14:paraId="5279FF67">
            <w:pPr>
              <w:rPr>
                <w:rFonts w:cs="Calibri"/>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noWrap w:val="0"/>
            <w:vAlign w:val="top"/>
          </w:tcPr>
          <w:p w14:paraId="5E64ACA5">
            <w:pPr>
              <w:rPr>
                <w:rFonts w:cs="Calibri"/>
                <w:color w:val="000000"/>
                <w:sz w:val="20"/>
                <w:szCs w:val="20"/>
              </w:rPr>
            </w:pPr>
          </w:p>
        </w:tc>
        <w:tc>
          <w:tcPr>
            <w:tcW w:w="1010" w:type="dxa"/>
            <w:tcBorders>
              <w:top w:val="single" w:color="000000" w:sz="4" w:space="0"/>
              <w:left w:val="single" w:color="000000" w:sz="4" w:space="0"/>
              <w:bottom w:val="single" w:color="000000" w:sz="4" w:space="0"/>
              <w:right w:val="single" w:color="000000" w:sz="4" w:space="0"/>
            </w:tcBorders>
            <w:noWrap w:val="0"/>
            <w:vAlign w:val="top"/>
          </w:tcPr>
          <w:p w14:paraId="3592949A">
            <w:pPr>
              <w:rPr>
                <w:rFonts w:cs="Calibri"/>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29C70801">
            <w:pPr>
              <w:rPr>
                <w:rFonts w:cs="Calibri"/>
                <w:color w:val="000000"/>
                <w:sz w:val="20"/>
                <w:szCs w:val="20"/>
              </w:rPr>
            </w:pPr>
          </w:p>
        </w:tc>
        <w:tc>
          <w:tcPr>
            <w:tcW w:w="1156" w:type="dxa"/>
            <w:gridSpan w:val="2"/>
            <w:tcBorders>
              <w:top w:val="single" w:color="000000" w:sz="4" w:space="0"/>
              <w:left w:val="single" w:color="000000" w:sz="4" w:space="0"/>
              <w:bottom w:val="single" w:color="000000" w:sz="4" w:space="0"/>
              <w:right w:val="single" w:color="000000" w:sz="4" w:space="0"/>
            </w:tcBorders>
            <w:noWrap w:val="0"/>
            <w:vAlign w:val="top"/>
          </w:tcPr>
          <w:p w14:paraId="1B729613">
            <w:pPr>
              <w:rPr>
                <w:rFonts w:cs="Calibri"/>
                <w:color w:val="000000"/>
                <w:sz w:val="20"/>
                <w:szCs w:val="20"/>
              </w:rPr>
            </w:pPr>
          </w:p>
        </w:tc>
        <w:tc>
          <w:tcPr>
            <w:tcW w:w="1232" w:type="dxa"/>
            <w:tcBorders>
              <w:top w:val="single" w:color="000000" w:sz="4" w:space="0"/>
              <w:left w:val="single" w:color="000000" w:sz="4" w:space="0"/>
              <w:bottom w:val="single" w:color="000000" w:sz="4" w:space="0"/>
              <w:right w:val="single" w:color="000000" w:sz="4" w:space="0"/>
            </w:tcBorders>
            <w:noWrap w:val="0"/>
            <w:vAlign w:val="top"/>
          </w:tcPr>
          <w:p w14:paraId="0AD2DDAF">
            <w:pPr>
              <w:rPr>
                <w:rFonts w:cs="Calibri"/>
                <w:color w:val="000000"/>
                <w:sz w:val="20"/>
                <w:szCs w:val="20"/>
              </w:rPr>
            </w:pPr>
          </w:p>
        </w:tc>
        <w:tc>
          <w:tcPr>
            <w:tcW w:w="1107" w:type="dxa"/>
            <w:tcBorders>
              <w:top w:val="single" w:color="000000" w:sz="4" w:space="0"/>
              <w:left w:val="single" w:color="000000" w:sz="4" w:space="0"/>
              <w:bottom w:val="single" w:color="000000" w:sz="4" w:space="0"/>
              <w:right w:val="single" w:color="000000" w:sz="4" w:space="0"/>
            </w:tcBorders>
            <w:noWrap w:val="0"/>
            <w:vAlign w:val="top"/>
          </w:tcPr>
          <w:p w14:paraId="473105D7">
            <w:pPr>
              <w:rPr>
                <w:rFonts w:cs="Calibri"/>
                <w:color w:val="000000"/>
                <w:sz w:val="20"/>
                <w:szCs w:val="20"/>
              </w:rPr>
            </w:pPr>
          </w:p>
        </w:tc>
        <w:tc>
          <w:tcPr>
            <w:tcW w:w="1019" w:type="dxa"/>
            <w:gridSpan w:val="2"/>
            <w:tcBorders>
              <w:top w:val="single" w:color="000000" w:sz="4" w:space="0"/>
              <w:left w:val="single" w:color="000000" w:sz="4" w:space="0"/>
              <w:bottom w:val="single" w:color="000000" w:sz="4" w:space="0"/>
              <w:right w:val="single" w:color="000000" w:sz="4" w:space="0"/>
            </w:tcBorders>
            <w:noWrap w:val="0"/>
            <w:vAlign w:val="top"/>
          </w:tcPr>
          <w:p w14:paraId="79191C89">
            <w:pPr>
              <w:rPr>
                <w:rFonts w:cs="Calibri"/>
                <w:color w:val="000000"/>
                <w:sz w:val="20"/>
                <w:szCs w:val="20"/>
              </w:rPr>
            </w:pPr>
          </w:p>
        </w:tc>
        <w:tc>
          <w:tcPr>
            <w:tcW w:w="1307" w:type="dxa"/>
            <w:tcBorders>
              <w:top w:val="single" w:color="000000" w:sz="4" w:space="0"/>
              <w:left w:val="single" w:color="000000" w:sz="4" w:space="0"/>
              <w:bottom w:val="single" w:color="000000" w:sz="4" w:space="0"/>
              <w:right w:val="single" w:color="000000" w:sz="4" w:space="0"/>
            </w:tcBorders>
            <w:noWrap w:val="0"/>
            <w:vAlign w:val="top"/>
          </w:tcPr>
          <w:p w14:paraId="66917896">
            <w:pPr>
              <w:rPr>
                <w:rFonts w:cs="Calibri"/>
                <w:color w:val="000000"/>
                <w:sz w:val="20"/>
                <w:szCs w:val="20"/>
              </w:rPr>
            </w:pPr>
          </w:p>
        </w:tc>
        <w:tc>
          <w:tcPr>
            <w:tcW w:w="714" w:type="dxa"/>
            <w:gridSpan w:val="2"/>
            <w:tcBorders>
              <w:top w:val="single" w:color="000000" w:sz="4" w:space="0"/>
              <w:left w:val="single" w:color="000000" w:sz="4" w:space="0"/>
              <w:bottom w:val="single" w:color="000000" w:sz="4" w:space="0"/>
              <w:right w:val="single" w:color="000000" w:sz="4" w:space="0"/>
            </w:tcBorders>
            <w:noWrap w:val="0"/>
            <w:vAlign w:val="top"/>
          </w:tcPr>
          <w:p w14:paraId="506F2CF9">
            <w:pPr>
              <w:rPr>
                <w:rFonts w:cs="Calibri"/>
                <w:color w:val="000000"/>
                <w:sz w:val="20"/>
                <w:szCs w:val="20"/>
              </w:rPr>
            </w:pPr>
          </w:p>
        </w:tc>
        <w:tc>
          <w:tcPr>
            <w:tcW w:w="1232" w:type="dxa"/>
            <w:gridSpan w:val="2"/>
            <w:tcBorders>
              <w:top w:val="single" w:color="000000" w:sz="4" w:space="0"/>
              <w:left w:val="single" w:color="000000" w:sz="4" w:space="0"/>
              <w:bottom w:val="single" w:color="000000" w:sz="4" w:space="0"/>
              <w:right w:val="single" w:color="000000" w:sz="4" w:space="0"/>
            </w:tcBorders>
            <w:noWrap w:val="0"/>
            <w:vAlign w:val="top"/>
          </w:tcPr>
          <w:p w14:paraId="7CD19FF8">
            <w:pPr>
              <w:rPr>
                <w:rFonts w:cs="Calibri"/>
                <w:color w:val="000000"/>
                <w:sz w:val="20"/>
                <w:szCs w:val="20"/>
              </w:rPr>
            </w:pPr>
          </w:p>
        </w:tc>
        <w:tc>
          <w:tcPr>
            <w:tcW w:w="719" w:type="dxa"/>
            <w:gridSpan w:val="2"/>
            <w:tcBorders>
              <w:top w:val="single" w:color="000000" w:sz="4" w:space="0"/>
              <w:left w:val="single" w:color="000000" w:sz="4" w:space="0"/>
              <w:bottom w:val="single" w:color="000000" w:sz="4" w:space="0"/>
              <w:right w:val="nil"/>
            </w:tcBorders>
            <w:noWrap w:val="0"/>
            <w:vAlign w:val="top"/>
          </w:tcPr>
          <w:p w14:paraId="5894043E">
            <w:pPr>
              <w:rPr>
                <w:rFonts w:cs="Calibri"/>
                <w:color w:val="000000"/>
                <w:sz w:val="20"/>
                <w:szCs w:val="20"/>
              </w:rPr>
            </w:pPr>
          </w:p>
        </w:tc>
        <w:tc>
          <w:tcPr>
            <w:tcW w:w="1201" w:type="dxa"/>
            <w:tcBorders>
              <w:top w:val="single" w:color="000000" w:sz="4" w:space="0"/>
              <w:left w:val="single" w:color="000000" w:sz="4" w:space="0"/>
              <w:bottom w:val="single" w:color="000000" w:sz="4" w:space="0"/>
              <w:right w:val="single" w:color="000000" w:sz="4" w:space="0"/>
            </w:tcBorders>
            <w:noWrap w:val="0"/>
            <w:vAlign w:val="top"/>
          </w:tcPr>
          <w:p w14:paraId="74B4730F">
            <w:pPr>
              <w:rPr>
                <w:rFonts w:cs="Calibri"/>
                <w:color w:val="000000"/>
                <w:sz w:val="20"/>
                <w:szCs w:val="20"/>
              </w:rPr>
            </w:pPr>
          </w:p>
        </w:tc>
        <w:tc>
          <w:tcPr>
            <w:tcW w:w="972" w:type="dxa"/>
            <w:tcBorders>
              <w:top w:val="single" w:color="000000" w:sz="4" w:space="0"/>
              <w:left w:val="single" w:color="000000" w:sz="4" w:space="0"/>
              <w:bottom w:val="single" w:color="000000" w:sz="4" w:space="0"/>
              <w:right w:val="single" w:color="000000" w:sz="4" w:space="0"/>
            </w:tcBorders>
            <w:noWrap w:val="0"/>
            <w:vAlign w:val="top"/>
          </w:tcPr>
          <w:p w14:paraId="1FC13B87">
            <w:pPr>
              <w:rPr>
                <w:rFonts w:cs="Calibri"/>
                <w:color w:val="000000"/>
                <w:sz w:val="20"/>
                <w:szCs w:val="20"/>
              </w:rPr>
            </w:pPr>
          </w:p>
        </w:tc>
      </w:tr>
      <w:tr w14:paraId="7E0DA037">
        <w:tblPrEx>
          <w:tblCellMar>
            <w:top w:w="0" w:type="dxa"/>
            <w:left w:w="108" w:type="dxa"/>
            <w:bottom w:w="0" w:type="dxa"/>
            <w:right w:w="108" w:type="dxa"/>
          </w:tblCellMar>
        </w:tblPrEx>
        <w:trPr>
          <w:trHeight w:val="318" w:hRule="atLeast"/>
          <w:jc w:val="center"/>
        </w:trPr>
        <w:tc>
          <w:tcPr>
            <w:tcW w:w="1111" w:type="dxa"/>
            <w:tcBorders>
              <w:top w:val="single" w:color="000000" w:sz="4" w:space="0"/>
              <w:left w:val="single" w:color="000000" w:sz="4" w:space="0"/>
              <w:bottom w:val="single" w:color="000000" w:sz="4" w:space="0"/>
              <w:right w:val="single" w:color="000000" w:sz="4" w:space="0"/>
            </w:tcBorders>
            <w:noWrap w:val="0"/>
            <w:vAlign w:val="top"/>
          </w:tcPr>
          <w:p w14:paraId="54FD57CE">
            <w:pPr>
              <w:rPr>
                <w:rFonts w:cs="Calibri"/>
                <w:color w:val="000000"/>
                <w:sz w:val="20"/>
                <w:szCs w:val="20"/>
              </w:rPr>
            </w:pPr>
          </w:p>
        </w:tc>
        <w:tc>
          <w:tcPr>
            <w:tcW w:w="807" w:type="dxa"/>
            <w:tcBorders>
              <w:top w:val="single" w:color="000000" w:sz="4" w:space="0"/>
              <w:left w:val="single" w:color="000000" w:sz="4" w:space="0"/>
              <w:bottom w:val="single" w:color="000000" w:sz="4" w:space="0"/>
              <w:right w:val="single" w:color="000000" w:sz="4" w:space="0"/>
            </w:tcBorders>
            <w:noWrap w:val="0"/>
            <w:vAlign w:val="top"/>
          </w:tcPr>
          <w:p w14:paraId="4F24DE25">
            <w:pPr>
              <w:rPr>
                <w:rFonts w:cs="Calibri"/>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noWrap w:val="0"/>
            <w:vAlign w:val="top"/>
          </w:tcPr>
          <w:p w14:paraId="4EAFA9F5">
            <w:pPr>
              <w:rPr>
                <w:rFonts w:cs="Calibri"/>
                <w:color w:val="000000"/>
                <w:sz w:val="20"/>
                <w:szCs w:val="20"/>
              </w:rPr>
            </w:pPr>
          </w:p>
        </w:tc>
        <w:tc>
          <w:tcPr>
            <w:tcW w:w="1010" w:type="dxa"/>
            <w:tcBorders>
              <w:top w:val="single" w:color="000000" w:sz="4" w:space="0"/>
              <w:left w:val="single" w:color="000000" w:sz="4" w:space="0"/>
              <w:bottom w:val="single" w:color="000000" w:sz="4" w:space="0"/>
              <w:right w:val="single" w:color="000000" w:sz="4" w:space="0"/>
            </w:tcBorders>
            <w:noWrap w:val="0"/>
            <w:vAlign w:val="top"/>
          </w:tcPr>
          <w:p w14:paraId="69E526E2">
            <w:pPr>
              <w:rPr>
                <w:rFonts w:cs="Calibri"/>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5BCC28F2">
            <w:pPr>
              <w:rPr>
                <w:rFonts w:cs="Calibri"/>
                <w:color w:val="000000"/>
                <w:sz w:val="20"/>
                <w:szCs w:val="20"/>
              </w:rPr>
            </w:pPr>
          </w:p>
        </w:tc>
        <w:tc>
          <w:tcPr>
            <w:tcW w:w="1156" w:type="dxa"/>
            <w:gridSpan w:val="2"/>
            <w:tcBorders>
              <w:top w:val="single" w:color="000000" w:sz="4" w:space="0"/>
              <w:left w:val="single" w:color="000000" w:sz="4" w:space="0"/>
              <w:bottom w:val="single" w:color="000000" w:sz="4" w:space="0"/>
              <w:right w:val="single" w:color="000000" w:sz="4" w:space="0"/>
            </w:tcBorders>
            <w:noWrap w:val="0"/>
            <w:vAlign w:val="top"/>
          </w:tcPr>
          <w:p w14:paraId="77620DA8">
            <w:pPr>
              <w:rPr>
                <w:rFonts w:cs="Calibri"/>
                <w:color w:val="000000"/>
                <w:sz w:val="20"/>
                <w:szCs w:val="20"/>
              </w:rPr>
            </w:pPr>
          </w:p>
        </w:tc>
        <w:tc>
          <w:tcPr>
            <w:tcW w:w="1232" w:type="dxa"/>
            <w:tcBorders>
              <w:top w:val="single" w:color="000000" w:sz="4" w:space="0"/>
              <w:left w:val="single" w:color="000000" w:sz="4" w:space="0"/>
              <w:bottom w:val="single" w:color="000000" w:sz="4" w:space="0"/>
              <w:right w:val="single" w:color="000000" w:sz="4" w:space="0"/>
            </w:tcBorders>
            <w:noWrap w:val="0"/>
            <w:vAlign w:val="top"/>
          </w:tcPr>
          <w:p w14:paraId="18E902E9">
            <w:pPr>
              <w:rPr>
                <w:rFonts w:cs="Calibri"/>
                <w:color w:val="000000"/>
                <w:sz w:val="20"/>
                <w:szCs w:val="20"/>
              </w:rPr>
            </w:pPr>
          </w:p>
        </w:tc>
        <w:tc>
          <w:tcPr>
            <w:tcW w:w="1107" w:type="dxa"/>
            <w:tcBorders>
              <w:top w:val="single" w:color="000000" w:sz="4" w:space="0"/>
              <w:left w:val="single" w:color="000000" w:sz="4" w:space="0"/>
              <w:bottom w:val="single" w:color="000000" w:sz="4" w:space="0"/>
              <w:right w:val="single" w:color="000000" w:sz="4" w:space="0"/>
            </w:tcBorders>
            <w:noWrap w:val="0"/>
            <w:vAlign w:val="top"/>
          </w:tcPr>
          <w:p w14:paraId="3E65B63C">
            <w:pPr>
              <w:rPr>
                <w:rFonts w:cs="Calibri"/>
                <w:color w:val="000000"/>
                <w:sz w:val="20"/>
                <w:szCs w:val="20"/>
              </w:rPr>
            </w:pPr>
          </w:p>
        </w:tc>
        <w:tc>
          <w:tcPr>
            <w:tcW w:w="1019" w:type="dxa"/>
            <w:gridSpan w:val="2"/>
            <w:tcBorders>
              <w:top w:val="single" w:color="000000" w:sz="4" w:space="0"/>
              <w:left w:val="single" w:color="000000" w:sz="4" w:space="0"/>
              <w:bottom w:val="single" w:color="000000" w:sz="4" w:space="0"/>
              <w:right w:val="single" w:color="000000" w:sz="4" w:space="0"/>
            </w:tcBorders>
            <w:noWrap w:val="0"/>
            <w:vAlign w:val="top"/>
          </w:tcPr>
          <w:p w14:paraId="2BEFC610">
            <w:pPr>
              <w:rPr>
                <w:rFonts w:cs="Calibri"/>
                <w:color w:val="000000"/>
                <w:sz w:val="20"/>
                <w:szCs w:val="20"/>
              </w:rPr>
            </w:pPr>
          </w:p>
        </w:tc>
        <w:tc>
          <w:tcPr>
            <w:tcW w:w="1307" w:type="dxa"/>
            <w:tcBorders>
              <w:top w:val="single" w:color="000000" w:sz="4" w:space="0"/>
              <w:left w:val="single" w:color="000000" w:sz="4" w:space="0"/>
              <w:bottom w:val="single" w:color="000000" w:sz="4" w:space="0"/>
              <w:right w:val="single" w:color="000000" w:sz="4" w:space="0"/>
            </w:tcBorders>
            <w:noWrap w:val="0"/>
            <w:vAlign w:val="top"/>
          </w:tcPr>
          <w:p w14:paraId="6F8A54DD">
            <w:pPr>
              <w:rPr>
                <w:rFonts w:cs="Calibri"/>
                <w:color w:val="000000"/>
                <w:sz w:val="20"/>
                <w:szCs w:val="20"/>
              </w:rPr>
            </w:pPr>
          </w:p>
        </w:tc>
        <w:tc>
          <w:tcPr>
            <w:tcW w:w="714" w:type="dxa"/>
            <w:gridSpan w:val="2"/>
            <w:tcBorders>
              <w:top w:val="single" w:color="000000" w:sz="4" w:space="0"/>
              <w:left w:val="single" w:color="000000" w:sz="4" w:space="0"/>
              <w:bottom w:val="single" w:color="000000" w:sz="4" w:space="0"/>
              <w:right w:val="single" w:color="000000" w:sz="4" w:space="0"/>
            </w:tcBorders>
            <w:noWrap w:val="0"/>
            <w:vAlign w:val="top"/>
          </w:tcPr>
          <w:p w14:paraId="6B689158">
            <w:pPr>
              <w:rPr>
                <w:rFonts w:cs="Calibri"/>
                <w:color w:val="000000"/>
                <w:sz w:val="20"/>
                <w:szCs w:val="20"/>
              </w:rPr>
            </w:pPr>
          </w:p>
        </w:tc>
        <w:tc>
          <w:tcPr>
            <w:tcW w:w="1232" w:type="dxa"/>
            <w:gridSpan w:val="2"/>
            <w:tcBorders>
              <w:top w:val="single" w:color="000000" w:sz="4" w:space="0"/>
              <w:left w:val="single" w:color="000000" w:sz="4" w:space="0"/>
              <w:bottom w:val="single" w:color="000000" w:sz="4" w:space="0"/>
              <w:right w:val="single" w:color="000000" w:sz="4" w:space="0"/>
            </w:tcBorders>
            <w:noWrap w:val="0"/>
            <w:vAlign w:val="top"/>
          </w:tcPr>
          <w:p w14:paraId="3C8FE6AE">
            <w:pPr>
              <w:rPr>
                <w:rFonts w:cs="Calibri"/>
                <w:color w:val="000000"/>
                <w:sz w:val="20"/>
                <w:szCs w:val="20"/>
              </w:rPr>
            </w:pPr>
          </w:p>
        </w:tc>
        <w:tc>
          <w:tcPr>
            <w:tcW w:w="719" w:type="dxa"/>
            <w:gridSpan w:val="2"/>
            <w:tcBorders>
              <w:top w:val="single" w:color="000000" w:sz="4" w:space="0"/>
              <w:left w:val="single" w:color="000000" w:sz="4" w:space="0"/>
              <w:bottom w:val="single" w:color="000000" w:sz="4" w:space="0"/>
              <w:right w:val="single" w:color="000000" w:sz="4" w:space="0"/>
            </w:tcBorders>
            <w:noWrap w:val="0"/>
            <w:vAlign w:val="top"/>
          </w:tcPr>
          <w:p w14:paraId="1935D0B5">
            <w:pPr>
              <w:rPr>
                <w:rFonts w:cs="Calibri"/>
                <w:color w:val="000000"/>
                <w:sz w:val="20"/>
                <w:szCs w:val="20"/>
              </w:rPr>
            </w:pPr>
          </w:p>
        </w:tc>
        <w:tc>
          <w:tcPr>
            <w:tcW w:w="1201" w:type="dxa"/>
            <w:tcBorders>
              <w:top w:val="nil"/>
              <w:left w:val="single" w:color="000000" w:sz="4" w:space="0"/>
              <w:bottom w:val="single" w:color="000000" w:sz="4" w:space="0"/>
              <w:right w:val="single" w:color="000000" w:sz="4" w:space="0"/>
            </w:tcBorders>
            <w:noWrap w:val="0"/>
            <w:vAlign w:val="top"/>
          </w:tcPr>
          <w:p w14:paraId="1F28D443">
            <w:pPr>
              <w:rPr>
                <w:rFonts w:cs="Calibri"/>
                <w:color w:val="000000"/>
                <w:sz w:val="20"/>
                <w:szCs w:val="20"/>
              </w:rPr>
            </w:pPr>
          </w:p>
        </w:tc>
        <w:tc>
          <w:tcPr>
            <w:tcW w:w="972" w:type="dxa"/>
            <w:tcBorders>
              <w:top w:val="nil"/>
              <w:left w:val="single" w:color="000000" w:sz="4" w:space="0"/>
              <w:bottom w:val="single" w:color="000000" w:sz="4" w:space="0"/>
              <w:right w:val="single" w:color="000000" w:sz="4" w:space="0"/>
            </w:tcBorders>
            <w:noWrap w:val="0"/>
            <w:vAlign w:val="top"/>
          </w:tcPr>
          <w:p w14:paraId="1ED1E67D">
            <w:pPr>
              <w:rPr>
                <w:rFonts w:cs="Calibri"/>
                <w:color w:val="000000"/>
                <w:sz w:val="20"/>
                <w:szCs w:val="20"/>
              </w:rPr>
            </w:pPr>
          </w:p>
        </w:tc>
      </w:tr>
      <w:tr w14:paraId="772CB12D">
        <w:tblPrEx>
          <w:tblCellMar>
            <w:top w:w="0" w:type="dxa"/>
            <w:left w:w="108" w:type="dxa"/>
            <w:bottom w:w="0" w:type="dxa"/>
            <w:right w:w="108" w:type="dxa"/>
          </w:tblCellMar>
        </w:tblPrEx>
        <w:trPr>
          <w:trHeight w:val="318" w:hRule="atLeast"/>
          <w:jc w:val="center"/>
        </w:trPr>
        <w:tc>
          <w:tcPr>
            <w:tcW w:w="1111" w:type="dxa"/>
            <w:tcBorders>
              <w:top w:val="single" w:color="000000" w:sz="4" w:space="0"/>
              <w:left w:val="single" w:color="000000" w:sz="4" w:space="0"/>
              <w:bottom w:val="single" w:color="000000" w:sz="4" w:space="0"/>
              <w:right w:val="single" w:color="000000" w:sz="4" w:space="0"/>
            </w:tcBorders>
            <w:noWrap w:val="0"/>
            <w:vAlign w:val="top"/>
          </w:tcPr>
          <w:p w14:paraId="51F25E00">
            <w:pPr>
              <w:rPr>
                <w:rFonts w:cs="Calibri"/>
                <w:color w:val="000000"/>
                <w:sz w:val="20"/>
                <w:szCs w:val="20"/>
              </w:rPr>
            </w:pPr>
          </w:p>
        </w:tc>
        <w:tc>
          <w:tcPr>
            <w:tcW w:w="807" w:type="dxa"/>
            <w:tcBorders>
              <w:top w:val="single" w:color="000000" w:sz="4" w:space="0"/>
              <w:left w:val="single" w:color="000000" w:sz="4" w:space="0"/>
              <w:bottom w:val="single" w:color="000000" w:sz="4" w:space="0"/>
              <w:right w:val="single" w:color="000000" w:sz="4" w:space="0"/>
            </w:tcBorders>
            <w:noWrap w:val="0"/>
            <w:vAlign w:val="top"/>
          </w:tcPr>
          <w:p w14:paraId="27DE946D">
            <w:pPr>
              <w:rPr>
                <w:rFonts w:cs="Calibri"/>
                <w:color w:val="000000"/>
                <w:sz w:val="20"/>
                <w:szCs w:val="20"/>
              </w:rPr>
            </w:pPr>
          </w:p>
        </w:tc>
        <w:tc>
          <w:tcPr>
            <w:tcW w:w="1028" w:type="dxa"/>
            <w:tcBorders>
              <w:top w:val="single" w:color="000000" w:sz="4" w:space="0"/>
              <w:left w:val="single" w:color="000000" w:sz="4" w:space="0"/>
              <w:bottom w:val="single" w:color="000000" w:sz="4" w:space="0"/>
              <w:right w:val="single" w:color="000000" w:sz="4" w:space="0"/>
            </w:tcBorders>
            <w:noWrap w:val="0"/>
            <w:vAlign w:val="top"/>
          </w:tcPr>
          <w:p w14:paraId="1FD14371">
            <w:pPr>
              <w:rPr>
                <w:rFonts w:cs="Calibri"/>
                <w:color w:val="000000"/>
                <w:sz w:val="20"/>
                <w:szCs w:val="20"/>
              </w:rPr>
            </w:pPr>
          </w:p>
        </w:tc>
        <w:tc>
          <w:tcPr>
            <w:tcW w:w="1010" w:type="dxa"/>
            <w:tcBorders>
              <w:top w:val="single" w:color="000000" w:sz="4" w:space="0"/>
              <w:left w:val="single" w:color="000000" w:sz="4" w:space="0"/>
              <w:bottom w:val="single" w:color="000000" w:sz="4" w:space="0"/>
              <w:right w:val="single" w:color="000000" w:sz="4" w:space="0"/>
            </w:tcBorders>
            <w:noWrap w:val="0"/>
            <w:vAlign w:val="top"/>
          </w:tcPr>
          <w:p w14:paraId="762837B6">
            <w:pPr>
              <w:rPr>
                <w:rFonts w:cs="Calibri"/>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noWrap w:val="0"/>
            <w:vAlign w:val="top"/>
          </w:tcPr>
          <w:p w14:paraId="35B973E0">
            <w:pPr>
              <w:rPr>
                <w:rFonts w:cs="Calibri"/>
                <w:color w:val="000000"/>
                <w:sz w:val="20"/>
                <w:szCs w:val="20"/>
              </w:rPr>
            </w:pPr>
          </w:p>
        </w:tc>
        <w:tc>
          <w:tcPr>
            <w:tcW w:w="1156" w:type="dxa"/>
            <w:gridSpan w:val="2"/>
            <w:tcBorders>
              <w:top w:val="single" w:color="000000" w:sz="4" w:space="0"/>
              <w:left w:val="single" w:color="000000" w:sz="4" w:space="0"/>
              <w:bottom w:val="single" w:color="000000" w:sz="4" w:space="0"/>
              <w:right w:val="single" w:color="000000" w:sz="4" w:space="0"/>
            </w:tcBorders>
            <w:noWrap w:val="0"/>
            <w:vAlign w:val="top"/>
          </w:tcPr>
          <w:p w14:paraId="3DBFDA25">
            <w:pPr>
              <w:rPr>
                <w:rFonts w:cs="Calibri"/>
                <w:color w:val="000000"/>
                <w:sz w:val="20"/>
                <w:szCs w:val="20"/>
              </w:rPr>
            </w:pPr>
          </w:p>
        </w:tc>
        <w:tc>
          <w:tcPr>
            <w:tcW w:w="1232" w:type="dxa"/>
            <w:tcBorders>
              <w:top w:val="single" w:color="000000" w:sz="4" w:space="0"/>
              <w:left w:val="single" w:color="000000" w:sz="4" w:space="0"/>
              <w:bottom w:val="single" w:color="000000" w:sz="4" w:space="0"/>
              <w:right w:val="single" w:color="000000" w:sz="4" w:space="0"/>
            </w:tcBorders>
            <w:noWrap w:val="0"/>
            <w:vAlign w:val="top"/>
          </w:tcPr>
          <w:p w14:paraId="300EAD86">
            <w:pPr>
              <w:rPr>
                <w:rFonts w:cs="Calibri"/>
                <w:color w:val="000000"/>
                <w:sz w:val="20"/>
                <w:szCs w:val="20"/>
              </w:rPr>
            </w:pPr>
          </w:p>
        </w:tc>
        <w:tc>
          <w:tcPr>
            <w:tcW w:w="1107" w:type="dxa"/>
            <w:tcBorders>
              <w:top w:val="single" w:color="000000" w:sz="4" w:space="0"/>
              <w:left w:val="single" w:color="000000" w:sz="4" w:space="0"/>
              <w:bottom w:val="single" w:color="000000" w:sz="4" w:space="0"/>
              <w:right w:val="single" w:color="000000" w:sz="4" w:space="0"/>
            </w:tcBorders>
            <w:noWrap w:val="0"/>
            <w:vAlign w:val="top"/>
          </w:tcPr>
          <w:p w14:paraId="4F3358AF">
            <w:pPr>
              <w:rPr>
                <w:rFonts w:cs="Calibri"/>
                <w:color w:val="000000"/>
                <w:sz w:val="20"/>
                <w:szCs w:val="20"/>
              </w:rPr>
            </w:pPr>
          </w:p>
        </w:tc>
        <w:tc>
          <w:tcPr>
            <w:tcW w:w="1019" w:type="dxa"/>
            <w:gridSpan w:val="2"/>
            <w:tcBorders>
              <w:top w:val="single" w:color="000000" w:sz="4" w:space="0"/>
              <w:left w:val="single" w:color="000000" w:sz="4" w:space="0"/>
              <w:bottom w:val="single" w:color="000000" w:sz="4" w:space="0"/>
              <w:right w:val="single" w:color="000000" w:sz="4" w:space="0"/>
            </w:tcBorders>
            <w:noWrap w:val="0"/>
            <w:vAlign w:val="top"/>
          </w:tcPr>
          <w:p w14:paraId="0F4D4BA2">
            <w:pPr>
              <w:rPr>
                <w:rFonts w:cs="Calibri"/>
                <w:color w:val="000000"/>
                <w:sz w:val="20"/>
                <w:szCs w:val="20"/>
              </w:rPr>
            </w:pPr>
          </w:p>
        </w:tc>
        <w:tc>
          <w:tcPr>
            <w:tcW w:w="1307" w:type="dxa"/>
            <w:tcBorders>
              <w:top w:val="single" w:color="000000" w:sz="4" w:space="0"/>
              <w:left w:val="single" w:color="000000" w:sz="4" w:space="0"/>
              <w:bottom w:val="single" w:color="000000" w:sz="4" w:space="0"/>
              <w:right w:val="single" w:color="000000" w:sz="4" w:space="0"/>
            </w:tcBorders>
            <w:noWrap w:val="0"/>
            <w:vAlign w:val="top"/>
          </w:tcPr>
          <w:p w14:paraId="26604922">
            <w:pPr>
              <w:rPr>
                <w:rFonts w:cs="Calibri"/>
                <w:color w:val="000000"/>
                <w:sz w:val="20"/>
                <w:szCs w:val="20"/>
              </w:rPr>
            </w:pPr>
          </w:p>
        </w:tc>
        <w:tc>
          <w:tcPr>
            <w:tcW w:w="714" w:type="dxa"/>
            <w:gridSpan w:val="2"/>
            <w:tcBorders>
              <w:top w:val="single" w:color="000000" w:sz="4" w:space="0"/>
              <w:left w:val="single" w:color="000000" w:sz="4" w:space="0"/>
              <w:bottom w:val="single" w:color="000000" w:sz="4" w:space="0"/>
              <w:right w:val="single" w:color="000000" w:sz="4" w:space="0"/>
            </w:tcBorders>
            <w:noWrap w:val="0"/>
            <w:vAlign w:val="top"/>
          </w:tcPr>
          <w:p w14:paraId="3DBA718A">
            <w:pPr>
              <w:rPr>
                <w:rFonts w:cs="Calibri"/>
                <w:color w:val="000000"/>
                <w:sz w:val="20"/>
                <w:szCs w:val="20"/>
              </w:rPr>
            </w:pPr>
          </w:p>
        </w:tc>
        <w:tc>
          <w:tcPr>
            <w:tcW w:w="1232" w:type="dxa"/>
            <w:gridSpan w:val="2"/>
            <w:tcBorders>
              <w:top w:val="single" w:color="000000" w:sz="4" w:space="0"/>
              <w:left w:val="single" w:color="000000" w:sz="4" w:space="0"/>
              <w:bottom w:val="single" w:color="000000" w:sz="4" w:space="0"/>
              <w:right w:val="single" w:color="000000" w:sz="4" w:space="0"/>
            </w:tcBorders>
            <w:noWrap w:val="0"/>
            <w:vAlign w:val="top"/>
          </w:tcPr>
          <w:p w14:paraId="5FF4FD62">
            <w:pPr>
              <w:rPr>
                <w:rFonts w:cs="Calibri"/>
                <w:color w:val="000000"/>
                <w:sz w:val="20"/>
                <w:szCs w:val="20"/>
              </w:rPr>
            </w:pPr>
          </w:p>
        </w:tc>
        <w:tc>
          <w:tcPr>
            <w:tcW w:w="719" w:type="dxa"/>
            <w:gridSpan w:val="2"/>
            <w:tcBorders>
              <w:top w:val="single" w:color="000000" w:sz="4" w:space="0"/>
              <w:left w:val="single" w:color="000000" w:sz="4" w:space="0"/>
              <w:bottom w:val="single" w:color="000000" w:sz="4" w:space="0"/>
              <w:right w:val="single" w:color="000000" w:sz="4" w:space="0"/>
            </w:tcBorders>
            <w:noWrap w:val="0"/>
            <w:vAlign w:val="top"/>
          </w:tcPr>
          <w:p w14:paraId="2AA66311">
            <w:pPr>
              <w:rPr>
                <w:rFonts w:cs="Calibri"/>
                <w:color w:val="000000"/>
                <w:sz w:val="20"/>
                <w:szCs w:val="20"/>
              </w:rPr>
            </w:pPr>
          </w:p>
        </w:tc>
        <w:tc>
          <w:tcPr>
            <w:tcW w:w="1201" w:type="dxa"/>
            <w:tcBorders>
              <w:top w:val="single" w:color="000000" w:sz="4" w:space="0"/>
              <w:left w:val="single" w:color="000000" w:sz="4" w:space="0"/>
              <w:bottom w:val="single" w:color="000000" w:sz="4" w:space="0"/>
              <w:right w:val="single" w:color="000000" w:sz="4" w:space="0"/>
            </w:tcBorders>
            <w:noWrap w:val="0"/>
            <w:vAlign w:val="top"/>
          </w:tcPr>
          <w:p w14:paraId="60212458">
            <w:pPr>
              <w:rPr>
                <w:rFonts w:cs="Calibri"/>
                <w:color w:val="000000"/>
                <w:sz w:val="20"/>
                <w:szCs w:val="20"/>
              </w:rPr>
            </w:pPr>
          </w:p>
        </w:tc>
        <w:tc>
          <w:tcPr>
            <w:tcW w:w="972" w:type="dxa"/>
            <w:tcBorders>
              <w:top w:val="single" w:color="000000" w:sz="4" w:space="0"/>
              <w:left w:val="single" w:color="000000" w:sz="4" w:space="0"/>
              <w:bottom w:val="single" w:color="000000" w:sz="4" w:space="0"/>
              <w:right w:val="single" w:color="000000" w:sz="4" w:space="0"/>
            </w:tcBorders>
            <w:noWrap w:val="0"/>
            <w:vAlign w:val="top"/>
          </w:tcPr>
          <w:p w14:paraId="6326C892">
            <w:pPr>
              <w:rPr>
                <w:rFonts w:cs="Calibri"/>
                <w:color w:val="000000"/>
                <w:sz w:val="20"/>
                <w:szCs w:val="20"/>
              </w:rPr>
            </w:pPr>
          </w:p>
        </w:tc>
      </w:tr>
      <w:tr w14:paraId="41A1A8E2">
        <w:tblPrEx>
          <w:tblCellMar>
            <w:top w:w="0" w:type="dxa"/>
            <w:left w:w="108" w:type="dxa"/>
            <w:bottom w:w="0" w:type="dxa"/>
            <w:right w:w="108" w:type="dxa"/>
          </w:tblCellMar>
        </w:tblPrEx>
        <w:trPr>
          <w:trHeight w:val="534" w:hRule="atLeast"/>
          <w:jc w:val="center"/>
        </w:trPr>
        <w:tc>
          <w:tcPr>
            <w:tcW w:w="2946" w:type="dxa"/>
            <w:gridSpan w:val="3"/>
            <w:tcBorders>
              <w:top w:val="single" w:color="000000" w:sz="4" w:space="0"/>
              <w:left w:val="single" w:color="000000" w:sz="4" w:space="0"/>
              <w:bottom w:val="single" w:color="000000" w:sz="4" w:space="0"/>
              <w:right w:val="single" w:color="000000" w:sz="4" w:space="0"/>
            </w:tcBorders>
            <w:noWrap w:val="0"/>
            <w:vAlign w:val="center"/>
          </w:tcPr>
          <w:p w14:paraId="62A1756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处 置 原 因</w:t>
            </w:r>
          </w:p>
        </w:tc>
        <w:tc>
          <w:tcPr>
            <w:tcW w:w="12519" w:type="dxa"/>
            <w:gridSpan w:val="17"/>
            <w:tcBorders>
              <w:top w:val="single" w:color="000000" w:sz="4" w:space="0"/>
              <w:left w:val="single" w:color="000000" w:sz="4" w:space="0"/>
              <w:bottom w:val="single" w:color="000000" w:sz="4" w:space="0"/>
              <w:right w:val="single" w:color="000000" w:sz="4" w:space="0"/>
            </w:tcBorders>
            <w:noWrap w:val="0"/>
            <w:vAlign w:val="center"/>
          </w:tcPr>
          <w:p w14:paraId="32C7B8BD">
            <w:pPr>
              <w:jc w:val="center"/>
              <w:rPr>
                <w:rFonts w:hint="eastAsia" w:ascii="宋体" w:hAnsi="宋体" w:cs="宋体"/>
                <w:color w:val="000000"/>
                <w:sz w:val="18"/>
                <w:szCs w:val="18"/>
              </w:rPr>
            </w:pPr>
          </w:p>
        </w:tc>
      </w:tr>
      <w:tr w14:paraId="3F4F2C46">
        <w:tblPrEx>
          <w:tblCellMar>
            <w:top w:w="0" w:type="dxa"/>
            <w:left w:w="108" w:type="dxa"/>
            <w:bottom w:w="0" w:type="dxa"/>
            <w:right w:w="108" w:type="dxa"/>
          </w:tblCellMar>
        </w:tblPrEx>
        <w:trPr>
          <w:trHeight w:val="1081" w:hRule="atLeast"/>
          <w:jc w:val="center"/>
        </w:trPr>
        <w:tc>
          <w:tcPr>
            <w:tcW w:w="1111" w:type="dxa"/>
            <w:tcBorders>
              <w:top w:val="single" w:color="000000" w:sz="4" w:space="0"/>
              <w:left w:val="single" w:color="000000" w:sz="4" w:space="0"/>
              <w:bottom w:val="single" w:color="000000" w:sz="4" w:space="0"/>
              <w:right w:val="single" w:color="000000" w:sz="4" w:space="0"/>
            </w:tcBorders>
            <w:noWrap w:val="0"/>
            <w:vAlign w:val="center"/>
          </w:tcPr>
          <w:p w14:paraId="7A45B92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单位意见</w:t>
            </w:r>
          </w:p>
        </w:tc>
        <w:tc>
          <w:tcPr>
            <w:tcW w:w="3700" w:type="dxa"/>
            <w:gridSpan w:val="5"/>
            <w:tcBorders>
              <w:top w:val="single" w:color="000000" w:sz="4" w:space="0"/>
              <w:left w:val="single" w:color="000000" w:sz="4" w:space="0"/>
              <w:bottom w:val="single" w:color="000000" w:sz="4" w:space="0"/>
              <w:right w:val="single" w:color="000000" w:sz="4" w:space="0"/>
            </w:tcBorders>
            <w:noWrap w:val="0"/>
            <w:vAlign w:val="top"/>
          </w:tcPr>
          <w:p w14:paraId="0FFE8771">
            <w:pPr>
              <w:widowControl/>
              <w:jc w:val="left"/>
              <w:textAlignment w:val="top"/>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资产管理部门负责人（签章）</w:t>
            </w:r>
          </w:p>
          <w:p w14:paraId="64634C01">
            <w:pPr>
              <w:pStyle w:val="2"/>
              <w:rPr>
                <w:rFonts w:hint="eastAsia"/>
              </w:rPr>
            </w:pPr>
          </w:p>
          <w:p w14:paraId="090E295F">
            <w:pPr>
              <w:widowControl/>
              <w:jc w:val="right"/>
              <w:textAlignment w:val="top"/>
              <w:rPr>
                <w:rFonts w:hint="eastAsia" w:ascii="宋体" w:hAnsi="宋体" w:cs="宋体"/>
                <w:color w:val="000000"/>
                <w:sz w:val="18"/>
                <w:szCs w:val="18"/>
              </w:rPr>
            </w:pPr>
            <w:r>
              <w:rPr>
                <w:rFonts w:hint="eastAsia" w:ascii="宋体" w:hAnsi="宋体" w:cs="宋体"/>
                <w:color w:val="000000"/>
                <w:kern w:val="0"/>
                <w:sz w:val="18"/>
                <w:szCs w:val="18"/>
                <w:lang w:bidi="ar"/>
              </w:rPr>
              <w:t>年</w:t>
            </w:r>
            <w:r>
              <w:rPr>
                <w:rFonts w:cs="Calibri"/>
                <w:color w:val="000000"/>
                <w:kern w:val="0"/>
                <w:sz w:val="18"/>
                <w:szCs w:val="18"/>
                <w:lang w:bidi="ar"/>
              </w:rPr>
              <w:t xml:space="preserve">   </w:t>
            </w:r>
            <w:r>
              <w:rPr>
                <w:rFonts w:hint="eastAsia" w:ascii="宋体" w:hAnsi="宋体" w:cs="宋体"/>
                <w:color w:val="000000"/>
                <w:sz w:val="18"/>
                <w:szCs w:val="18"/>
                <w:lang w:bidi="ar"/>
              </w:rPr>
              <w:t>月</w:t>
            </w:r>
            <w:r>
              <w:rPr>
                <w:rFonts w:cs="Calibri"/>
                <w:color w:val="000000"/>
                <w:kern w:val="0"/>
                <w:sz w:val="18"/>
                <w:szCs w:val="18"/>
                <w:lang w:bidi="ar"/>
              </w:rPr>
              <w:t xml:space="preserve">   </w:t>
            </w:r>
            <w:r>
              <w:rPr>
                <w:rFonts w:hint="eastAsia" w:ascii="宋体" w:hAnsi="宋体" w:cs="宋体"/>
                <w:color w:val="000000"/>
                <w:sz w:val="18"/>
                <w:szCs w:val="18"/>
                <w:lang w:bidi="ar"/>
              </w:rPr>
              <w:t>日</w:t>
            </w:r>
          </w:p>
        </w:tc>
        <w:tc>
          <w:tcPr>
            <w:tcW w:w="3501" w:type="dxa"/>
            <w:gridSpan w:val="4"/>
            <w:tcBorders>
              <w:top w:val="single" w:color="000000" w:sz="4" w:space="0"/>
              <w:left w:val="single" w:color="000000" w:sz="4" w:space="0"/>
              <w:bottom w:val="single" w:color="000000" w:sz="4" w:space="0"/>
              <w:right w:val="single" w:color="000000" w:sz="4" w:space="0"/>
            </w:tcBorders>
            <w:noWrap w:val="0"/>
            <w:vAlign w:val="top"/>
          </w:tcPr>
          <w:p w14:paraId="15D87121">
            <w:pPr>
              <w:widowControl/>
              <w:textAlignment w:val="top"/>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预算（财务）管理部门负责人（签章）</w:t>
            </w:r>
          </w:p>
          <w:p w14:paraId="3E2D040E">
            <w:pPr>
              <w:pStyle w:val="2"/>
              <w:rPr>
                <w:rFonts w:hint="eastAsia"/>
              </w:rPr>
            </w:pPr>
          </w:p>
          <w:p w14:paraId="45BC8C65">
            <w:pPr>
              <w:widowControl/>
              <w:jc w:val="right"/>
              <w:textAlignment w:val="top"/>
              <w:rPr>
                <w:rFonts w:hint="eastAsia" w:ascii="宋体" w:hAnsi="宋体" w:cs="宋体"/>
                <w:color w:val="000000"/>
                <w:sz w:val="18"/>
                <w:szCs w:val="18"/>
              </w:rPr>
            </w:pPr>
            <w:r>
              <w:rPr>
                <w:rFonts w:hint="eastAsia" w:ascii="宋体" w:hAnsi="宋体" w:cs="宋体"/>
                <w:color w:val="000000"/>
                <w:kern w:val="0"/>
                <w:sz w:val="18"/>
                <w:szCs w:val="18"/>
                <w:lang w:bidi="ar"/>
              </w:rPr>
              <w:t>年</w:t>
            </w:r>
            <w:r>
              <w:rPr>
                <w:rFonts w:cs="Calibri"/>
                <w:color w:val="000000"/>
                <w:kern w:val="0"/>
                <w:sz w:val="18"/>
                <w:szCs w:val="18"/>
                <w:lang w:bidi="ar"/>
              </w:rPr>
              <w:t xml:space="preserve">   </w:t>
            </w:r>
            <w:r>
              <w:rPr>
                <w:rFonts w:hint="eastAsia" w:ascii="宋体" w:hAnsi="宋体" w:cs="宋体"/>
                <w:color w:val="000000"/>
                <w:sz w:val="18"/>
                <w:szCs w:val="18"/>
                <w:lang w:bidi="ar"/>
              </w:rPr>
              <w:t>月</w:t>
            </w:r>
            <w:r>
              <w:rPr>
                <w:rFonts w:cs="Calibri"/>
                <w:color w:val="000000"/>
                <w:kern w:val="0"/>
                <w:sz w:val="18"/>
                <w:szCs w:val="18"/>
                <w:lang w:bidi="ar"/>
              </w:rPr>
              <w:t xml:space="preserve">   </w:t>
            </w:r>
            <w:r>
              <w:rPr>
                <w:rFonts w:hint="eastAsia" w:ascii="宋体" w:hAnsi="宋体" w:cs="宋体"/>
                <w:color w:val="000000"/>
                <w:sz w:val="18"/>
                <w:szCs w:val="18"/>
                <w:lang w:bidi="ar"/>
              </w:rPr>
              <w:t>日</w:t>
            </w:r>
          </w:p>
        </w:tc>
        <w:tc>
          <w:tcPr>
            <w:tcW w:w="7153" w:type="dxa"/>
            <w:gridSpan w:val="10"/>
            <w:tcBorders>
              <w:top w:val="single" w:color="000000" w:sz="4" w:space="0"/>
              <w:left w:val="single" w:color="000000" w:sz="4" w:space="0"/>
              <w:bottom w:val="single" w:color="000000" w:sz="4" w:space="0"/>
              <w:right w:val="single" w:color="000000" w:sz="4" w:space="0"/>
            </w:tcBorders>
            <w:noWrap w:val="0"/>
            <w:vAlign w:val="top"/>
          </w:tcPr>
          <w:p w14:paraId="35828788">
            <w:pPr>
              <w:widowControl/>
              <w:jc w:val="left"/>
              <w:textAlignment w:val="top"/>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单位负责人（签章）</w:t>
            </w:r>
          </w:p>
          <w:p w14:paraId="5FBAEFEB">
            <w:pPr>
              <w:pStyle w:val="2"/>
              <w:rPr>
                <w:rFonts w:hint="eastAsia"/>
              </w:rPr>
            </w:pPr>
          </w:p>
          <w:p w14:paraId="1C5528EE">
            <w:pPr>
              <w:widowControl/>
              <w:jc w:val="righ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年</w:t>
            </w:r>
            <w:r>
              <w:rPr>
                <w:rFonts w:cs="Calibri"/>
                <w:color w:val="000000"/>
                <w:kern w:val="0"/>
                <w:sz w:val="18"/>
                <w:szCs w:val="18"/>
                <w:lang w:bidi="ar"/>
              </w:rPr>
              <w:t xml:space="preserve">   </w:t>
            </w:r>
            <w:r>
              <w:rPr>
                <w:rFonts w:hint="eastAsia" w:ascii="宋体" w:hAnsi="宋体" w:cs="宋体"/>
                <w:color w:val="000000"/>
                <w:sz w:val="18"/>
                <w:szCs w:val="18"/>
                <w:lang w:bidi="ar"/>
              </w:rPr>
              <w:t>月</w:t>
            </w:r>
            <w:r>
              <w:rPr>
                <w:rFonts w:cs="Calibri"/>
                <w:color w:val="000000"/>
                <w:kern w:val="0"/>
                <w:sz w:val="18"/>
                <w:szCs w:val="18"/>
                <w:lang w:bidi="ar"/>
              </w:rPr>
              <w:t xml:space="preserve">   </w:t>
            </w:r>
            <w:r>
              <w:rPr>
                <w:rFonts w:hint="eastAsia" w:ascii="宋体" w:hAnsi="宋体" w:cs="宋体"/>
                <w:color w:val="000000"/>
                <w:sz w:val="18"/>
                <w:szCs w:val="18"/>
                <w:lang w:bidi="ar"/>
              </w:rPr>
              <w:t>日</w:t>
            </w:r>
          </w:p>
        </w:tc>
      </w:tr>
      <w:tr w14:paraId="269D56FD">
        <w:tblPrEx>
          <w:tblCellMar>
            <w:top w:w="0" w:type="dxa"/>
            <w:left w:w="108" w:type="dxa"/>
            <w:bottom w:w="0" w:type="dxa"/>
            <w:right w:w="108" w:type="dxa"/>
          </w:tblCellMar>
        </w:tblPrEx>
        <w:trPr>
          <w:trHeight w:val="1059" w:hRule="atLeast"/>
          <w:jc w:val="center"/>
        </w:trPr>
        <w:tc>
          <w:tcPr>
            <w:tcW w:w="1111" w:type="dxa"/>
            <w:tcBorders>
              <w:top w:val="single" w:color="000000" w:sz="4" w:space="0"/>
              <w:left w:val="single" w:color="000000" w:sz="4" w:space="0"/>
              <w:bottom w:val="single" w:color="000000" w:sz="4" w:space="0"/>
              <w:right w:val="single" w:color="000000" w:sz="4" w:space="0"/>
            </w:tcBorders>
            <w:noWrap w:val="0"/>
            <w:vAlign w:val="center"/>
          </w:tcPr>
          <w:p w14:paraId="2358682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主管部门</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审核意见</w:t>
            </w:r>
          </w:p>
        </w:tc>
        <w:tc>
          <w:tcPr>
            <w:tcW w:w="3700" w:type="dxa"/>
            <w:gridSpan w:val="5"/>
            <w:tcBorders>
              <w:top w:val="single" w:color="000000" w:sz="4" w:space="0"/>
              <w:left w:val="single" w:color="000000" w:sz="4" w:space="0"/>
              <w:bottom w:val="single" w:color="000000" w:sz="4" w:space="0"/>
              <w:right w:val="single" w:color="000000" w:sz="4" w:space="0"/>
            </w:tcBorders>
            <w:noWrap w:val="0"/>
            <w:vAlign w:val="top"/>
          </w:tcPr>
          <w:p w14:paraId="62FF5E35">
            <w:pPr>
              <w:widowControl/>
              <w:jc w:val="left"/>
              <w:textAlignment w:val="top"/>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资产管理部门负责人（签章）</w:t>
            </w:r>
          </w:p>
          <w:p w14:paraId="4A76437C">
            <w:pPr>
              <w:pStyle w:val="2"/>
              <w:rPr>
                <w:rFonts w:hint="eastAsia"/>
              </w:rPr>
            </w:pPr>
          </w:p>
          <w:p w14:paraId="2B0CBA8A">
            <w:pPr>
              <w:widowControl/>
              <w:jc w:val="right"/>
              <w:textAlignment w:val="top"/>
              <w:rPr>
                <w:rFonts w:hint="eastAsia" w:ascii="宋体" w:hAnsi="宋体" w:cs="宋体"/>
                <w:color w:val="000000"/>
                <w:sz w:val="20"/>
                <w:szCs w:val="20"/>
              </w:rPr>
            </w:pPr>
            <w:r>
              <w:rPr>
                <w:rFonts w:hint="eastAsia" w:ascii="宋体" w:hAnsi="宋体" w:cs="宋体"/>
                <w:color w:val="000000"/>
                <w:kern w:val="0"/>
                <w:sz w:val="20"/>
                <w:szCs w:val="20"/>
                <w:lang w:bidi="ar"/>
              </w:rPr>
              <w:t>年</w:t>
            </w:r>
            <w:r>
              <w:rPr>
                <w:rFonts w:cs="Calibri"/>
                <w:color w:val="000000"/>
                <w:kern w:val="0"/>
                <w:sz w:val="20"/>
                <w:szCs w:val="20"/>
                <w:lang w:bidi="ar"/>
              </w:rPr>
              <w:t xml:space="preserve">   </w:t>
            </w:r>
            <w:r>
              <w:rPr>
                <w:rFonts w:hint="eastAsia" w:ascii="宋体" w:hAnsi="宋体" w:cs="宋体"/>
                <w:color w:val="000000"/>
                <w:sz w:val="20"/>
                <w:szCs w:val="20"/>
                <w:lang w:bidi="ar"/>
              </w:rPr>
              <w:t>月</w:t>
            </w:r>
            <w:r>
              <w:rPr>
                <w:rFonts w:cs="Calibri"/>
                <w:color w:val="000000"/>
                <w:kern w:val="0"/>
                <w:sz w:val="20"/>
                <w:szCs w:val="20"/>
                <w:lang w:bidi="ar"/>
              </w:rPr>
              <w:t xml:space="preserve">   </w:t>
            </w:r>
            <w:r>
              <w:rPr>
                <w:rFonts w:hint="eastAsia" w:ascii="宋体" w:hAnsi="宋体" w:cs="宋体"/>
                <w:color w:val="000000"/>
                <w:sz w:val="20"/>
                <w:szCs w:val="20"/>
                <w:lang w:bidi="ar"/>
              </w:rPr>
              <w:t>日</w:t>
            </w:r>
          </w:p>
        </w:tc>
        <w:tc>
          <w:tcPr>
            <w:tcW w:w="3501" w:type="dxa"/>
            <w:gridSpan w:val="4"/>
            <w:tcBorders>
              <w:top w:val="single" w:color="000000" w:sz="4" w:space="0"/>
              <w:left w:val="single" w:color="000000" w:sz="4" w:space="0"/>
              <w:bottom w:val="single" w:color="000000" w:sz="4" w:space="0"/>
              <w:right w:val="single" w:color="000000" w:sz="4" w:space="0"/>
            </w:tcBorders>
            <w:noWrap w:val="0"/>
            <w:vAlign w:val="top"/>
          </w:tcPr>
          <w:p w14:paraId="57884EBA">
            <w:pPr>
              <w:widowControl/>
              <w:textAlignment w:val="top"/>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预算（财务）管理部门负责人（签章）</w:t>
            </w:r>
          </w:p>
          <w:p w14:paraId="3FB787E6">
            <w:pPr>
              <w:pStyle w:val="2"/>
              <w:rPr>
                <w:rFonts w:hint="eastAsia"/>
              </w:rPr>
            </w:pPr>
          </w:p>
          <w:p w14:paraId="58281022">
            <w:pPr>
              <w:widowControl/>
              <w:jc w:val="right"/>
              <w:textAlignment w:val="top"/>
              <w:rPr>
                <w:rFonts w:hint="eastAsia" w:ascii="宋体" w:hAnsi="宋体" w:cs="宋体"/>
                <w:color w:val="000000"/>
                <w:sz w:val="20"/>
                <w:szCs w:val="20"/>
              </w:rPr>
            </w:pPr>
            <w:r>
              <w:rPr>
                <w:rFonts w:hint="eastAsia" w:ascii="宋体" w:hAnsi="宋体" w:cs="宋体"/>
                <w:color w:val="000000"/>
                <w:kern w:val="0"/>
                <w:sz w:val="20"/>
                <w:szCs w:val="20"/>
                <w:lang w:bidi="ar"/>
              </w:rPr>
              <w:t>年</w:t>
            </w:r>
            <w:r>
              <w:rPr>
                <w:rFonts w:cs="Calibri"/>
                <w:color w:val="000000"/>
                <w:kern w:val="0"/>
                <w:sz w:val="20"/>
                <w:szCs w:val="20"/>
                <w:lang w:bidi="ar"/>
              </w:rPr>
              <w:t xml:space="preserve">   </w:t>
            </w:r>
            <w:r>
              <w:rPr>
                <w:rFonts w:hint="eastAsia" w:ascii="宋体" w:hAnsi="宋体" w:cs="宋体"/>
                <w:color w:val="000000"/>
                <w:sz w:val="20"/>
                <w:szCs w:val="20"/>
                <w:lang w:bidi="ar"/>
              </w:rPr>
              <w:t>月</w:t>
            </w:r>
            <w:r>
              <w:rPr>
                <w:rFonts w:cs="Calibri"/>
                <w:color w:val="000000"/>
                <w:kern w:val="0"/>
                <w:sz w:val="20"/>
                <w:szCs w:val="20"/>
                <w:lang w:bidi="ar"/>
              </w:rPr>
              <w:t xml:space="preserve">   </w:t>
            </w:r>
            <w:r>
              <w:rPr>
                <w:rFonts w:hint="eastAsia" w:ascii="宋体" w:hAnsi="宋体" w:cs="宋体"/>
                <w:color w:val="000000"/>
                <w:sz w:val="20"/>
                <w:szCs w:val="20"/>
                <w:lang w:bidi="ar"/>
              </w:rPr>
              <w:t>日</w:t>
            </w:r>
          </w:p>
        </w:tc>
        <w:tc>
          <w:tcPr>
            <w:tcW w:w="7153" w:type="dxa"/>
            <w:gridSpan w:val="10"/>
            <w:tcBorders>
              <w:top w:val="single" w:color="000000" w:sz="4" w:space="0"/>
              <w:left w:val="single" w:color="000000" w:sz="4" w:space="0"/>
              <w:bottom w:val="single" w:color="000000" w:sz="4" w:space="0"/>
              <w:right w:val="single" w:color="000000" w:sz="4" w:space="0"/>
            </w:tcBorders>
            <w:noWrap w:val="0"/>
            <w:vAlign w:val="top"/>
          </w:tcPr>
          <w:p w14:paraId="6DEA735B">
            <w:pPr>
              <w:widowControl/>
              <w:jc w:val="left"/>
              <w:textAlignment w:val="top"/>
              <w:rPr>
                <w:rFonts w:hint="eastAsia" w:ascii="宋体" w:hAnsi="宋体" w:cs="宋体"/>
                <w:color w:val="000000"/>
                <w:sz w:val="18"/>
                <w:szCs w:val="18"/>
              </w:rPr>
            </w:pPr>
            <w:r>
              <w:rPr>
                <w:rFonts w:hint="eastAsia" w:ascii="宋体" w:hAnsi="宋体" w:cs="宋体"/>
                <w:color w:val="000000"/>
                <w:kern w:val="0"/>
                <w:sz w:val="18"/>
                <w:szCs w:val="18"/>
                <w:lang w:bidi="ar"/>
              </w:rPr>
              <w:t>备注</w:t>
            </w:r>
          </w:p>
        </w:tc>
      </w:tr>
      <w:tr w14:paraId="1373D4E6">
        <w:tblPrEx>
          <w:tblCellMar>
            <w:top w:w="0" w:type="dxa"/>
            <w:left w:w="108" w:type="dxa"/>
            <w:bottom w:w="0" w:type="dxa"/>
            <w:right w:w="108" w:type="dxa"/>
          </w:tblCellMar>
        </w:tblPrEx>
        <w:trPr>
          <w:trHeight w:val="2129" w:hRule="atLeast"/>
          <w:jc w:val="center"/>
        </w:trPr>
        <w:tc>
          <w:tcPr>
            <w:tcW w:w="15465" w:type="dxa"/>
            <w:gridSpan w:val="20"/>
            <w:tcBorders>
              <w:top w:val="nil"/>
              <w:left w:val="nil"/>
              <w:bottom w:val="nil"/>
              <w:right w:val="nil"/>
            </w:tcBorders>
            <w:noWrap w:val="0"/>
            <w:vAlign w:val="center"/>
          </w:tcPr>
          <w:p w14:paraId="6D4E064E">
            <w:pPr>
              <w:widowControl/>
              <w:jc w:val="left"/>
              <w:textAlignment w:val="center"/>
              <w:rPr>
                <w:rFonts w:hint="eastAsia" w:ascii="宋体" w:hAnsi="宋体" w:cs="宋体"/>
                <w:color w:val="000000"/>
                <w:kern w:val="0"/>
                <w:sz w:val="18"/>
                <w:szCs w:val="18"/>
                <w:lang w:bidi="ar"/>
              </w:rPr>
            </w:pPr>
          </w:p>
          <w:p w14:paraId="0A49E640">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说明：</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1.本表适用于行政事业单位国有资产转让、置换、报废、损失核销等处置事项申请。</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资产类别：（1）固定资产包括房屋及构筑物、车辆、设备、文物资源、图书档案、家具用具、动植物、其他；（2）无形资产包括专利权、非专利技术、著作权、资源资质、商标权、信息数据、其他；（3）对外投资包括短期投资、长期股权投资、长期债券投资；（4）其他资产。</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3.资产处置方式：（1）转让；（2）置换；（3）报废；（4）损失核销；（5）其他。</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4.表中资产类别、资产来源、资产处置方式等用填表说明中最末级标准名称填写，选填“其他”的，需在备注栏进行说明。</w:t>
            </w:r>
          </w:p>
        </w:tc>
      </w:tr>
    </w:tbl>
    <w:p w14:paraId="3B20A7BE"/>
    <w:p w14:paraId="0CDC7E2B">
      <w:pPr>
        <w:pStyle w:val="2"/>
        <w:ind w:left="0" w:leftChars="0" w:firstLine="0" w:firstLineChars="0"/>
        <w:sectPr>
          <w:pgSz w:w="16838" w:h="11906" w:orient="landscape"/>
          <w:pgMar w:top="720" w:right="720" w:bottom="720" w:left="720" w:header="851" w:footer="992" w:gutter="0"/>
          <w:pgNumType w:fmt="decimal"/>
          <w:cols w:space="720" w:num="1"/>
          <w:docGrid w:type="lines" w:linePitch="312" w:charSpace="0"/>
        </w:sectPr>
      </w:pPr>
    </w:p>
    <w:p w14:paraId="19CF788B">
      <w:pPr>
        <w:pStyle w:val="2"/>
        <w:rPr>
          <w:rFonts w:hint="eastAsia" w:ascii="Times New Roman" w:hAnsi="Times New Roman" w:eastAsia="宋体" w:cs="Times New Roman"/>
          <w:color w:val="auto"/>
          <w:lang w:val="en-US" w:eastAsia="zh-CN"/>
        </w:rPr>
      </w:pPr>
      <w:r>
        <w:rPr>
          <w:rFonts w:hint="eastAsia" w:ascii="黑体" w:hAnsi="黑体" w:eastAsia="黑体" w:cs="黑体"/>
          <w:color w:val="000000"/>
          <w:kern w:val="0"/>
          <w:sz w:val="32"/>
          <w:szCs w:val="32"/>
          <w:lang w:val="en-US" w:eastAsia="zh-CN"/>
        </w:rPr>
        <w:t xml:space="preserve"> </w:t>
      </w:r>
    </w:p>
    <w:p w14:paraId="58C70194">
      <w:pPr>
        <w:rPr>
          <w:rFonts w:hint="default" w:ascii="Times New Roman" w:hAnsi="Times New Roman" w:cs="Times New Roman"/>
          <w:color w:val="auto"/>
          <w:lang w:val="en-US" w:eastAsia="zh-CN"/>
        </w:rPr>
      </w:pPr>
    </w:p>
    <w:p w14:paraId="1A7C9D51">
      <w:pPr>
        <w:pStyle w:val="2"/>
        <w:rPr>
          <w:rFonts w:hint="default" w:ascii="Times New Roman" w:hAnsi="Times New Roman" w:cs="Times New Roman"/>
          <w:color w:val="auto"/>
          <w:lang w:val="en-US" w:eastAsia="zh-CN"/>
        </w:rPr>
      </w:pPr>
    </w:p>
    <w:p w14:paraId="27DD3E2B">
      <w:pPr>
        <w:rPr>
          <w:rFonts w:hint="default" w:ascii="Times New Roman" w:hAnsi="Times New Roman" w:cs="Times New Roman"/>
          <w:color w:val="auto"/>
          <w:lang w:val="en-US" w:eastAsia="zh-CN"/>
        </w:rPr>
      </w:pPr>
    </w:p>
    <w:p w14:paraId="37D90886">
      <w:pPr>
        <w:pStyle w:val="2"/>
        <w:rPr>
          <w:rFonts w:hint="default" w:ascii="Times New Roman" w:hAnsi="Times New Roman" w:cs="Times New Roman"/>
          <w:color w:val="auto"/>
          <w:lang w:val="en-US" w:eastAsia="zh-CN"/>
        </w:rPr>
      </w:pPr>
    </w:p>
    <w:p w14:paraId="4F99C24D">
      <w:pP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br w:type="page"/>
      </w:r>
    </w:p>
    <w:p w14:paraId="05A1383F">
      <w:pPr>
        <w:pStyle w:val="2"/>
        <w:rPr>
          <w:rFonts w:hint="default"/>
          <w:lang w:val="en-US" w:eastAsia="zh-CN"/>
        </w:rPr>
      </w:pPr>
    </w:p>
    <w:p w14:paraId="561104BE">
      <w:pPr>
        <w:rPr>
          <w:rFonts w:hint="default"/>
          <w:lang w:val="en-US" w:eastAsia="zh-CN"/>
        </w:rPr>
      </w:pPr>
    </w:p>
    <w:p w14:paraId="4911310A">
      <w:pPr>
        <w:pStyle w:val="2"/>
        <w:rPr>
          <w:rFonts w:hint="default"/>
          <w:lang w:val="en-US" w:eastAsia="zh-CN"/>
        </w:rPr>
      </w:pPr>
    </w:p>
    <w:p w14:paraId="491E6423">
      <w:pPr>
        <w:rPr>
          <w:rFonts w:hint="default"/>
          <w:lang w:val="en-US" w:eastAsia="zh-CN"/>
        </w:rPr>
      </w:pPr>
    </w:p>
    <w:p w14:paraId="740756AE">
      <w:pPr>
        <w:pStyle w:val="2"/>
        <w:rPr>
          <w:rFonts w:hint="default"/>
          <w:lang w:val="en-US" w:eastAsia="zh-CN"/>
        </w:rPr>
      </w:pPr>
    </w:p>
    <w:p w14:paraId="0D3941E7">
      <w:pPr>
        <w:rPr>
          <w:rFonts w:hint="default"/>
          <w:lang w:val="en-US" w:eastAsia="zh-CN"/>
        </w:rPr>
      </w:pPr>
    </w:p>
    <w:p w14:paraId="73F5037B">
      <w:pPr>
        <w:pStyle w:val="2"/>
        <w:rPr>
          <w:rFonts w:hint="default"/>
          <w:lang w:val="en-US" w:eastAsia="zh-CN"/>
        </w:rPr>
      </w:pPr>
    </w:p>
    <w:p w14:paraId="31734097">
      <w:pPr>
        <w:rPr>
          <w:rFonts w:hint="default"/>
          <w:lang w:val="en-US" w:eastAsia="zh-CN"/>
        </w:rPr>
      </w:pPr>
    </w:p>
    <w:p w14:paraId="278D210F">
      <w:pPr>
        <w:pStyle w:val="2"/>
        <w:rPr>
          <w:rFonts w:hint="default"/>
          <w:lang w:val="en-US" w:eastAsia="zh-CN"/>
        </w:rPr>
      </w:pPr>
    </w:p>
    <w:p w14:paraId="696E3F2A">
      <w:pPr>
        <w:rPr>
          <w:rFonts w:hint="default"/>
          <w:lang w:val="en-US" w:eastAsia="zh-CN"/>
        </w:rPr>
      </w:pPr>
    </w:p>
    <w:p w14:paraId="28C08E1C">
      <w:pPr>
        <w:pStyle w:val="2"/>
        <w:rPr>
          <w:rFonts w:hint="default"/>
          <w:lang w:val="en-US" w:eastAsia="zh-CN"/>
        </w:rPr>
      </w:pPr>
    </w:p>
    <w:p w14:paraId="25892FB9">
      <w:pPr>
        <w:rPr>
          <w:rFonts w:hint="default"/>
          <w:lang w:val="en-US" w:eastAsia="zh-CN"/>
        </w:rPr>
      </w:pPr>
    </w:p>
    <w:p w14:paraId="60D7180A">
      <w:pPr>
        <w:pStyle w:val="2"/>
        <w:rPr>
          <w:rFonts w:hint="default"/>
          <w:lang w:val="en-US" w:eastAsia="zh-CN"/>
        </w:rPr>
      </w:pPr>
    </w:p>
    <w:p w14:paraId="2A29C2FA">
      <w:pPr>
        <w:rPr>
          <w:rFonts w:hint="default"/>
          <w:lang w:val="en-US" w:eastAsia="zh-CN"/>
        </w:rPr>
      </w:pPr>
    </w:p>
    <w:p w14:paraId="3F935265">
      <w:pPr>
        <w:pStyle w:val="2"/>
        <w:rPr>
          <w:rFonts w:hint="default"/>
          <w:lang w:val="en-US" w:eastAsia="zh-CN"/>
        </w:rPr>
      </w:pPr>
    </w:p>
    <w:p w14:paraId="32C1D863">
      <w:pPr>
        <w:rPr>
          <w:rFonts w:hint="default"/>
          <w:lang w:val="en-US" w:eastAsia="zh-CN"/>
        </w:rPr>
      </w:pPr>
    </w:p>
    <w:p w14:paraId="0E7F3A88">
      <w:pPr>
        <w:pStyle w:val="2"/>
        <w:rPr>
          <w:rFonts w:hint="default"/>
          <w:lang w:val="en-US" w:eastAsia="zh-CN"/>
        </w:rPr>
      </w:pPr>
    </w:p>
    <w:p w14:paraId="6C442F26">
      <w:pPr>
        <w:rPr>
          <w:rFonts w:hint="default"/>
          <w:lang w:val="en-US" w:eastAsia="zh-CN"/>
        </w:rPr>
      </w:pPr>
    </w:p>
    <w:p w14:paraId="4885F084">
      <w:pPr>
        <w:pStyle w:val="2"/>
        <w:rPr>
          <w:rFonts w:hint="default"/>
          <w:lang w:val="en-US" w:eastAsia="zh-CN"/>
        </w:rPr>
      </w:pPr>
    </w:p>
    <w:p w14:paraId="2295892A">
      <w:pPr>
        <w:rPr>
          <w:rFonts w:hint="default"/>
          <w:lang w:val="en-US" w:eastAsia="zh-CN"/>
        </w:rPr>
      </w:pPr>
    </w:p>
    <w:p w14:paraId="0CC2DBAE">
      <w:pPr>
        <w:pStyle w:val="2"/>
        <w:rPr>
          <w:rFonts w:hint="default"/>
          <w:lang w:val="en-US" w:eastAsia="zh-CN"/>
        </w:rPr>
      </w:pPr>
    </w:p>
    <w:p w14:paraId="795FDB94">
      <w:pPr>
        <w:rPr>
          <w:rFonts w:hint="default"/>
          <w:lang w:val="en-US" w:eastAsia="zh-CN"/>
        </w:rPr>
      </w:pPr>
    </w:p>
    <w:p w14:paraId="33B1E616">
      <w:pPr>
        <w:pStyle w:val="2"/>
        <w:rPr>
          <w:rFonts w:hint="default"/>
          <w:lang w:val="en-US" w:eastAsia="zh-CN"/>
        </w:rPr>
      </w:pPr>
    </w:p>
    <w:p w14:paraId="180FE8FE">
      <w:pPr>
        <w:rPr>
          <w:rFonts w:hint="default"/>
          <w:lang w:val="en-US" w:eastAsia="zh-CN"/>
        </w:rPr>
      </w:pPr>
    </w:p>
    <w:p w14:paraId="5716BEA0">
      <w:pPr>
        <w:pStyle w:val="2"/>
        <w:rPr>
          <w:rFonts w:hint="default"/>
          <w:lang w:val="en-US" w:eastAsia="zh-CN"/>
        </w:rPr>
      </w:pPr>
    </w:p>
    <w:p w14:paraId="5D30EC46">
      <w:pPr>
        <w:rPr>
          <w:rFonts w:hint="default"/>
          <w:lang w:val="en-US" w:eastAsia="zh-CN"/>
        </w:rPr>
      </w:pPr>
    </w:p>
    <w:p w14:paraId="2EE178CC">
      <w:pPr>
        <w:pStyle w:val="2"/>
        <w:rPr>
          <w:rFonts w:hint="default"/>
          <w:lang w:val="en-US" w:eastAsia="zh-CN"/>
        </w:rPr>
      </w:pPr>
    </w:p>
    <w:p w14:paraId="33CD2E01">
      <w:pPr>
        <w:rPr>
          <w:rFonts w:hint="default"/>
          <w:lang w:val="en-US" w:eastAsia="zh-CN"/>
        </w:rPr>
      </w:pPr>
    </w:p>
    <w:p w14:paraId="162C3D6F">
      <w:pPr>
        <w:pStyle w:val="2"/>
        <w:rPr>
          <w:rFonts w:hint="default"/>
          <w:lang w:val="en-US" w:eastAsia="zh-CN"/>
        </w:rPr>
      </w:pPr>
    </w:p>
    <w:p w14:paraId="508ECC99">
      <w:pPr>
        <w:rPr>
          <w:rFonts w:hint="default"/>
          <w:lang w:val="en-US" w:eastAsia="zh-CN"/>
        </w:rPr>
      </w:pPr>
    </w:p>
    <w:p w14:paraId="0859AC2C">
      <w:pPr>
        <w:pStyle w:val="2"/>
        <w:rPr>
          <w:rFonts w:hint="default"/>
          <w:lang w:val="en-US" w:eastAsia="zh-CN"/>
        </w:rPr>
      </w:pPr>
    </w:p>
    <w:p w14:paraId="45586079">
      <w:pPr>
        <w:rPr>
          <w:rFonts w:hint="default"/>
          <w:lang w:val="en-US" w:eastAsia="zh-CN"/>
        </w:rPr>
      </w:pPr>
    </w:p>
    <w:p w14:paraId="08917380">
      <w:pPr>
        <w:pStyle w:val="2"/>
        <w:rPr>
          <w:rFonts w:hint="default"/>
          <w:lang w:val="en-US" w:eastAsia="zh-CN"/>
        </w:rPr>
      </w:pPr>
    </w:p>
    <w:p w14:paraId="2C349A30">
      <w:pPr>
        <w:rPr>
          <w:rFonts w:hint="default"/>
          <w:lang w:val="en-US" w:eastAsia="zh-CN"/>
        </w:rPr>
      </w:pPr>
    </w:p>
    <w:p w14:paraId="7EB7A67E">
      <w:pPr>
        <w:pStyle w:val="2"/>
        <w:rPr>
          <w:rFonts w:hint="default"/>
          <w:lang w:val="en-US" w:eastAsia="zh-CN"/>
        </w:rPr>
      </w:pPr>
    </w:p>
    <w:p w14:paraId="14ACC49D">
      <w:pPr>
        <w:rPr>
          <w:rFonts w:hint="default"/>
          <w:lang w:val="en-US" w:eastAsia="zh-CN"/>
        </w:rPr>
      </w:pPr>
    </w:p>
    <w:p w14:paraId="38915A0A">
      <w:pPr>
        <w:pStyle w:val="2"/>
        <w:rPr>
          <w:rFonts w:hint="default"/>
          <w:lang w:val="en-US" w:eastAsia="zh-CN"/>
        </w:rPr>
      </w:pPr>
    </w:p>
    <w:p w14:paraId="52058BF0">
      <w:pPr>
        <w:rPr>
          <w:rFonts w:hint="default"/>
          <w:lang w:val="en-US" w:eastAsia="zh-CN"/>
        </w:rPr>
      </w:pPr>
    </w:p>
    <w:p w14:paraId="0730F478">
      <w:pPr>
        <w:pStyle w:val="2"/>
        <w:rPr>
          <w:rFonts w:hint="default" w:ascii="Times New Roman" w:hAnsi="Times New Roman" w:cs="Times New Roman"/>
          <w:color w:val="auto"/>
          <w:lang w:val="en-US" w:eastAsia="zh-CN"/>
        </w:rPr>
      </w:pPr>
    </w:p>
    <w:p w14:paraId="538A6FA6">
      <w:pPr>
        <w:rPr>
          <w:rFonts w:hint="default" w:ascii="Times New Roman" w:hAnsi="Times New Roman" w:cs="Times New Roman"/>
          <w:color w:val="auto"/>
          <w:lang w:val="en-US" w:eastAsia="zh-CN"/>
        </w:rPr>
      </w:pPr>
    </w:p>
    <w:p w14:paraId="0F6F2700">
      <w:pPr>
        <w:rPr>
          <w:rFonts w:hint="default" w:ascii="Times New Roman" w:hAnsi="Times New Roman" w:cs="Times New Roman"/>
          <w:color w:val="auto"/>
          <w:lang w:val="en-US" w:eastAsia="zh-CN"/>
        </w:rPr>
      </w:pPr>
    </w:p>
    <w:p w14:paraId="2528D1A7">
      <w:pPr>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 xml:space="preserve"> </w:t>
      </w:r>
    </w:p>
    <w:p w14:paraId="287922AA">
      <w:pPr>
        <w:keepNext w:val="0"/>
        <w:keepLines w:val="0"/>
        <w:pageBreakBefore w:val="0"/>
        <w:pBdr>
          <w:top w:val="single" w:color="auto" w:sz="4" w:space="0"/>
          <w:bottom w:val="single" w:color="auto" w:sz="4" w:space="0"/>
        </w:pBdr>
        <w:tabs>
          <w:tab w:val="left" w:pos="7020"/>
        </w:tabs>
        <w:kinsoku/>
        <w:wordWrap/>
        <w:overflowPunct/>
        <w:topLinePunct w:val="0"/>
        <w:autoSpaceDE/>
        <w:autoSpaceDN/>
        <w:bidi w:val="0"/>
        <w:adjustRightInd/>
        <w:snapToGrid/>
        <w:spacing w:line="560" w:lineRule="exact"/>
        <w:ind w:left="0" w:leftChars="0" w:firstLine="280" w:firstLineChars="100"/>
        <w:textAlignment w:val="auto"/>
        <w:rPr>
          <w:rFonts w:hint="default" w:ascii="Times New Roman" w:hAnsi="Times New Roman" w:cs="Times New Roman"/>
          <w:color w:val="auto"/>
          <w:sz w:val="28"/>
          <w:szCs w:val="28"/>
          <w:lang w:val="en-US" w:eastAsia="zh-CN"/>
        </w:rPr>
      </w:pPr>
      <w:r>
        <w:rPr>
          <w:rFonts w:hint="default" w:ascii="Times New Roman" w:hAnsi="Times New Roman" w:eastAsia="仿宋_GB2312" w:cs="Times New Roman"/>
          <w:color w:val="auto"/>
          <w:sz w:val="28"/>
          <w:szCs w:val="28"/>
        </w:rPr>
        <w:t xml:space="preserve">咸宁市财政局办公室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202</w:t>
      </w:r>
      <w:r>
        <w:rPr>
          <w:rFonts w:hint="eastAsia" w:ascii="Times New Roman" w:hAnsi="Times New Roman" w:eastAsia="仿宋_GB2312" w:cs="Times New Roman"/>
          <w:color w:val="auto"/>
          <w:sz w:val="28"/>
          <w:szCs w:val="28"/>
          <w:lang w:val="en-US" w:eastAsia="zh-CN"/>
        </w:rPr>
        <w:t>6</w:t>
      </w:r>
      <w:r>
        <w:rPr>
          <w:rFonts w:hint="default" w:ascii="Times New Roman" w:hAnsi="Times New Roman" w:eastAsia="仿宋_GB2312" w:cs="Times New Roman"/>
          <w:color w:val="auto"/>
          <w:sz w:val="28"/>
          <w:szCs w:val="28"/>
        </w:rPr>
        <w:t>年</w:t>
      </w:r>
      <w:r>
        <w:rPr>
          <w:rFonts w:hint="eastAsia" w:ascii="Times New Roman" w:hAnsi="Times New Roman" w:eastAsia="仿宋_GB2312" w:cs="Times New Roman"/>
          <w:color w:val="auto"/>
          <w:sz w:val="28"/>
          <w:szCs w:val="28"/>
          <w:lang w:val="en-US" w:eastAsia="zh-CN"/>
        </w:rPr>
        <w:t>8</w:t>
      </w:r>
      <w:r>
        <w:rPr>
          <w:rFonts w:hint="default" w:ascii="Times New Roman" w:hAnsi="Times New Roman" w:eastAsia="仿宋_GB2312" w:cs="Times New Roman"/>
          <w:color w:val="auto"/>
          <w:sz w:val="28"/>
          <w:szCs w:val="28"/>
        </w:rPr>
        <w:t>月</w:t>
      </w:r>
      <w:r>
        <w:rPr>
          <w:rFonts w:hint="eastAsia" w:ascii="Times New Roman" w:hAnsi="Times New Roman" w:eastAsia="仿宋_GB2312" w:cs="Times New Roman"/>
          <w:color w:val="auto"/>
          <w:sz w:val="28"/>
          <w:szCs w:val="28"/>
          <w:lang w:val="en-US" w:eastAsia="zh-CN"/>
        </w:rPr>
        <w:t>26</w:t>
      </w:r>
      <w:r>
        <w:rPr>
          <w:rFonts w:hint="default" w:ascii="Times New Roman" w:hAnsi="Times New Roman" w:eastAsia="仿宋_GB2312" w:cs="Times New Roman"/>
          <w:color w:val="auto"/>
          <w:sz w:val="28"/>
          <w:szCs w:val="28"/>
        </w:rPr>
        <w:t>日印</w:t>
      </w:r>
      <w:r>
        <w:rPr>
          <w:rFonts w:hint="default" w:ascii="Times New Roman" w:hAnsi="Times New Roman" w:eastAsia="仿宋_GB2312" w:cs="Times New Roman"/>
          <w:color w:val="auto"/>
          <w:sz w:val="28"/>
          <w:szCs w:val="28"/>
          <w:lang w:val="en-US" w:eastAsia="zh-CN"/>
        </w:rPr>
        <w:t>发</w:t>
      </w:r>
      <w:r>
        <w:rPr>
          <w:rFonts w:hint="default" w:ascii="Times New Roman" w:hAnsi="Times New Roman" w:eastAsia="仿宋_GB2312" w:cs="Times New Roman"/>
          <w:color w:val="auto"/>
          <w:sz w:val="28"/>
          <w:szCs w:val="28"/>
        </w:rPr>
        <w:t xml:space="preserve"> </w:t>
      </w: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1F9FD98-7942-4246-ACDE-5FBCD7EF9B0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B1E0D3F-0443-4E8F-A8BC-3F6EAA0151A0}"/>
  </w:font>
  <w:font w:name="FangSong_GB2312">
    <w:altName w:val="仿宋_GB2312"/>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3" w:fontKey="{14E31091-FC18-4A68-925D-96DA630F673D}"/>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embedRegular r:id="rId4" w:fontKey="{9CEC9FCF-7FC2-4015-B04F-FA3650F0A4B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4FB9CD">
    <w:pPr>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F1CF15">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54F1CF15">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52F54">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12C65">
                          <w:pPr>
                            <w:pStyle w:val="13"/>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6512C65">
                    <w:pPr>
                      <w:pStyle w:val="13"/>
                      <w:rPr>
                        <w:rFonts w:hint="eastAsia" w:ascii="宋体" w:hAnsi="宋体" w:eastAsia="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3BA20D"/>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33BA20D"/>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78C2C36">
                          <w:pPr>
                            <w:rPr>
                              <w:rFonts w:hint="eastAsia" w:eastAsia="宋体"/>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378C2C36">
                    <w:pPr>
                      <w:rPr>
                        <w:rFonts w:hint="eastAsia" w:eastAsia="宋体"/>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B5B04B"/>
    <w:multiLevelType w:val="singleLevel"/>
    <w:tmpl w:val="ABB5B04B"/>
    <w:lvl w:ilvl="0" w:tentative="0">
      <w:start w:val="2"/>
      <w:numFmt w:val="chineseCounting"/>
      <w:suff w:val="space"/>
      <w:lvlText w:val="第%1节"/>
      <w:lvlJc w:val="left"/>
      <w:rPr>
        <w:rFonts w:hint="eastAsia"/>
      </w:rPr>
    </w:lvl>
  </w:abstractNum>
  <w:abstractNum w:abstractNumId="1">
    <w:nsid w:val="D84F4AB5"/>
    <w:multiLevelType w:val="singleLevel"/>
    <w:tmpl w:val="D84F4AB5"/>
    <w:lvl w:ilvl="0" w:tentative="0">
      <w:start w:val="2"/>
      <w:numFmt w:val="chineseCounting"/>
      <w:suff w:val="space"/>
      <w:lvlText w:val="第%1节"/>
      <w:lvlJc w:val="left"/>
      <w:rPr>
        <w:rFonts w:hint="eastAsia"/>
      </w:rPr>
    </w:lvl>
  </w:abstractNum>
  <w:abstractNum w:abstractNumId="2">
    <w:nsid w:val="DD7D8D33"/>
    <w:multiLevelType w:val="singleLevel"/>
    <w:tmpl w:val="DD7D8D33"/>
    <w:lvl w:ilvl="0" w:tentative="0">
      <w:start w:val="1"/>
      <w:numFmt w:val="chineseCounting"/>
      <w:suff w:val="nothing"/>
      <w:lvlText w:val="（%1）"/>
      <w:lvlJc w:val="left"/>
      <w:rPr>
        <w:rFonts w:hint="eastAsia"/>
      </w:rPr>
    </w:lvl>
  </w:abstractNum>
  <w:abstractNum w:abstractNumId="3">
    <w:nsid w:val="7F66B899"/>
    <w:multiLevelType w:val="singleLevel"/>
    <w:tmpl w:val="7F66B899"/>
    <w:lvl w:ilvl="0" w:tentative="0">
      <w:start w:val="1"/>
      <w:numFmt w:val="chineseCounting"/>
      <w:suff w:val="nothing"/>
      <w:lvlText w:val="第%1章　"/>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EyODU3ZDJhNWNjODdhNWEwMTIxZWI5MWI4YmYwNWIifQ=="/>
  </w:docVars>
  <w:rsids>
    <w:rsidRoot w:val="12BE27B4"/>
    <w:rsid w:val="00013654"/>
    <w:rsid w:val="001C048E"/>
    <w:rsid w:val="00215CF1"/>
    <w:rsid w:val="002521DC"/>
    <w:rsid w:val="003A6EC0"/>
    <w:rsid w:val="00446D47"/>
    <w:rsid w:val="0054571F"/>
    <w:rsid w:val="0069744B"/>
    <w:rsid w:val="007363B0"/>
    <w:rsid w:val="007976F4"/>
    <w:rsid w:val="00940A75"/>
    <w:rsid w:val="009C7FCE"/>
    <w:rsid w:val="00BC1D6F"/>
    <w:rsid w:val="00CD1E7C"/>
    <w:rsid w:val="00D137C1"/>
    <w:rsid w:val="00D8047F"/>
    <w:rsid w:val="00DB5370"/>
    <w:rsid w:val="00E224BF"/>
    <w:rsid w:val="00EB29F1"/>
    <w:rsid w:val="00ED1E2A"/>
    <w:rsid w:val="01964A38"/>
    <w:rsid w:val="01AC5842"/>
    <w:rsid w:val="0213141D"/>
    <w:rsid w:val="0224187C"/>
    <w:rsid w:val="024E06A7"/>
    <w:rsid w:val="028247F4"/>
    <w:rsid w:val="031E451D"/>
    <w:rsid w:val="03226F55"/>
    <w:rsid w:val="0341645D"/>
    <w:rsid w:val="0361265C"/>
    <w:rsid w:val="039446EB"/>
    <w:rsid w:val="039B090A"/>
    <w:rsid w:val="03AD58A1"/>
    <w:rsid w:val="03B95FF4"/>
    <w:rsid w:val="0414304D"/>
    <w:rsid w:val="044B5C73"/>
    <w:rsid w:val="04A942BA"/>
    <w:rsid w:val="04C32152"/>
    <w:rsid w:val="052311E1"/>
    <w:rsid w:val="052B124D"/>
    <w:rsid w:val="05DB66F5"/>
    <w:rsid w:val="05FB0BA3"/>
    <w:rsid w:val="05FE8564"/>
    <w:rsid w:val="065564A8"/>
    <w:rsid w:val="06FF48D7"/>
    <w:rsid w:val="07041C7C"/>
    <w:rsid w:val="07047ECE"/>
    <w:rsid w:val="071F2612"/>
    <w:rsid w:val="074E28AE"/>
    <w:rsid w:val="07731193"/>
    <w:rsid w:val="07FFD0FC"/>
    <w:rsid w:val="08000695"/>
    <w:rsid w:val="0808579C"/>
    <w:rsid w:val="08247506"/>
    <w:rsid w:val="082C3238"/>
    <w:rsid w:val="08493425"/>
    <w:rsid w:val="089E6732"/>
    <w:rsid w:val="090F2C06"/>
    <w:rsid w:val="09151F1E"/>
    <w:rsid w:val="091772F6"/>
    <w:rsid w:val="091C32AD"/>
    <w:rsid w:val="094822F4"/>
    <w:rsid w:val="098BF69D"/>
    <w:rsid w:val="09DB7E50"/>
    <w:rsid w:val="09DE2873"/>
    <w:rsid w:val="0A6F565E"/>
    <w:rsid w:val="0A9F4195"/>
    <w:rsid w:val="0ABA1F25"/>
    <w:rsid w:val="0B0645A2"/>
    <w:rsid w:val="0B224DC6"/>
    <w:rsid w:val="0B436BBC"/>
    <w:rsid w:val="0B48482D"/>
    <w:rsid w:val="0B923F4E"/>
    <w:rsid w:val="0B953E9F"/>
    <w:rsid w:val="0BB05F2E"/>
    <w:rsid w:val="0BDF1ED9"/>
    <w:rsid w:val="0BE300B2"/>
    <w:rsid w:val="0BE43E2A"/>
    <w:rsid w:val="0BFE9F69"/>
    <w:rsid w:val="0C1969E9"/>
    <w:rsid w:val="0C2661F0"/>
    <w:rsid w:val="0C2D757F"/>
    <w:rsid w:val="0C525994"/>
    <w:rsid w:val="0C6A25C5"/>
    <w:rsid w:val="0C6E02C3"/>
    <w:rsid w:val="0C931AD8"/>
    <w:rsid w:val="0C9C460A"/>
    <w:rsid w:val="0CA830A9"/>
    <w:rsid w:val="0CE229B1"/>
    <w:rsid w:val="0D0274CC"/>
    <w:rsid w:val="0D3928BE"/>
    <w:rsid w:val="0D3D5EE8"/>
    <w:rsid w:val="0D8D43A2"/>
    <w:rsid w:val="0DC64D90"/>
    <w:rsid w:val="0DF7C36E"/>
    <w:rsid w:val="0E221AF6"/>
    <w:rsid w:val="0E49360F"/>
    <w:rsid w:val="0E8E5BB1"/>
    <w:rsid w:val="0EA855E3"/>
    <w:rsid w:val="0EBC5386"/>
    <w:rsid w:val="0EBFBF4C"/>
    <w:rsid w:val="0EC57F43"/>
    <w:rsid w:val="0EFD290A"/>
    <w:rsid w:val="0F072309"/>
    <w:rsid w:val="0F2E7896"/>
    <w:rsid w:val="0F36499C"/>
    <w:rsid w:val="0F636693"/>
    <w:rsid w:val="0F76123D"/>
    <w:rsid w:val="0F9B0CA3"/>
    <w:rsid w:val="0FD018F0"/>
    <w:rsid w:val="0FD9B44F"/>
    <w:rsid w:val="0FF1A6A1"/>
    <w:rsid w:val="105477D0"/>
    <w:rsid w:val="10613C9B"/>
    <w:rsid w:val="10892A30"/>
    <w:rsid w:val="108F767A"/>
    <w:rsid w:val="10C304B2"/>
    <w:rsid w:val="10E93D4E"/>
    <w:rsid w:val="10EC5905"/>
    <w:rsid w:val="1111121D"/>
    <w:rsid w:val="11196324"/>
    <w:rsid w:val="111D4066"/>
    <w:rsid w:val="11234259"/>
    <w:rsid w:val="11317B11"/>
    <w:rsid w:val="11615D84"/>
    <w:rsid w:val="11944CAD"/>
    <w:rsid w:val="11AE2F10"/>
    <w:rsid w:val="11B04EDA"/>
    <w:rsid w:val="120160FD"/>
    <w:rsid w:val="120B2110"/>
    <w:rsid w:val="12190C71"/>
    <w:rsid w:val="1230601B"/>
    <w:rsid w:val="123F1DBA"/>
    <w:rsid w:val="12415B32"/>
    <w:rsid w:val="12BE27B4"/>
    <w:rsid w:val="12CE1E35"/>
    <w:rsid w:val="12E0359D"/>
    <w:rsid w:val="12E43B93"/>
    <w:rsid w:val="13021765"/>
    <w:rsid w:val="13481E8C"/>
    <w:rsid w:val="13645F7C"/>
    <w:rsid w:val="137F1ECB"/>
    <w:rsid w:val="13A10F7E"/>
    <w:rsid w:val="13AE369B"/>
    <w:rsid w:val="13B174C0"/>
    <w:rsid w:val="13B860EB"/>
    <w:rsid w:val="143771ED"/>
    <w:rsid w:val="147478CA"/>
    <w:rsid w:val="149E0D7F"/>
    <w:rsid w:val="14C60571"/>
    <w:rsid w:val="14F21366"/>
    <w:rsid w:val="14FC60B6"/>
    <w:rsid w:val="150712B5"/>
    <w:rsid w:val="15565D98"/>
    <w:rsid w:val="1562473D"/>
    <w:rsid w:val="15757273"/>
    <w:rsid w:val="15A707CC"/>
    <w:rsid w:val="15C72F70"/>
    <w:rsid w:val="15D43E5C"/>
    <w:rsid w:val="16655F19"/>
    <w:rsid w:val="16836468"/>
    <w:rsid w:val="168E1562"/>
    <w:rsid w:val="16B014D8"/>
    <w:rsid w:val="16C84A74"/>
    <w:rsid w:val="16E217E2"/>
    <w:rsid w:val="16EDFEBA"/>
    <w:rsid w:val="16F67333"/>
    <w:rsid w:val="16FA18C2"/>
    <w:rsid w:val="171E28E6"/>
    <w:rsid w:val="17255A22"/>
    <w:rsid w:val="174F2A9F"/>
    <w:rsid w:val="175844A8"/>
    <w:rsid w:val="17AF0D5C"/>
    <w:rsid w:val="17E1B3F2"/>
    <w:rsid w:val="186D0013"/>
    <w:rsid w:val="18820583"/>
    <w:rsid w:val="18C77676"/>
    <w:rsid w:val="19457408"/>
    <w:rsid w:val="198253AE"/>
    <w:rsid w:val="19D83220"/>
    <w:rsid w:val="19DDB3FA"/>
    <w:rsid w:val="19EC0249"/>
    <w:rsid w:val="19EF40C6"/>
    <w:rsid w:val="1A3D12D5"/>
    <w:rsid w:val="1A3E0FD5"/>
    <w:rsid w:val="1A4C1518"/>
    <w:rsid w:val="1A8C400A"/>
    <w:rsid w:val="1AD05CA5"/>
    <w:rsid w:val="1B5FB21F"/>
    <w:rsid w:val="1B732C9F"/>
    <w:rsid w:val="1B7A3866"/>
    <w:rsid w:val="1B8575B5"/>
    <w:rsid w:val="1BBEA9A7"/>
    <w:rsid w:val="1BDE5E16"/>
    <w:rsid w:val="1BEF2AA3"/>
    <w:rsid w:val="1BF34341"/>
    <w:rsid w:val="1BFE98AB"/>
    <w:rsid w:val="1C146065"/>
    <w:rsid w:val="1CBD66FD"/>
    <w:rsid w:val="1CCC6940"/>
    <w:rsid w:val="1CF77E61"/>
    <w:rsid w:val="1CF9B4DA"/>
    <w:rsid w:val="1CFC77D6"/>
    <w:rsid w:val="1D7FDD30"/>
    <w:rsid w:val="1DA136C6"/>
    <w:rsid w:val="1DC04CF2"/>
    <w:rsid w:val="1DC778A6"/>
    <w:rsid w:val="1DE33F41"/>
    <w:rsid w:val="1DF919B7"/>
    <w:rsid w:val="1E0839A8"/>
    <w:rsid w:val="1EE61F3B"/>
    <w:rsid w:val="1EF7EE5B"/>
    <w:rsid w:val="1EFBEB71"/>
    <w:rsid w:val="1F170346"/>
    <w:rsid w:val="1F264A2D"/>
    <w:rsid w:val="1F353745"/>
    <w:rsid w:val="1F5F124C"/>
    <w:rsid w:val="1F666BD8"/>
    <w:rsid w:val="1F865547"/>
    <w:rsid w:val="1F971487"/>
    <w:rsid w:val="1FAB4482"/>
    <w:rsid w:val="1FB51E4F"/>
    <w:rsid w:val="1FBC0EEE"/>
    <w:rsid w:val="1FFB2FB3"/>
    <w:rsid w:val="1FFF639B"/>
    <w:rsid w:val="203F5C04"/>
    <w:rsid w:val="209239FD"/>
    <w:rsid w:val="20A200E4"/>
    <w:rsid w:val="20C16004"/>
    <w:rsid w:val="211500C0"/>
    <w:rsid w:val="21B225A8"/>
    <w:rsid w:val="21CD2F3E"/>
    <w:rsid w:val="21DA1AFF"/>
    <w:rsid w:val="21E1272D"/>
    <w:rsid w:val="21F500F9"/>
    <w:rsid w:val="220F79FB"/>
    <w:rsid w:val="22274D44"/>
    <w:rsid w:val="22405E06"/>
    <w:rsid w:val="22600256"/>
    <w:rsid w:val="2277156C"/>
    <w:rsid w:val="22C50F41"/>
    <w:rsid w:val="23007D7C"/>
    <w:rsid w:val="230C37EC"/>
    <w:rsid w:val="23694EE9"/>
    <w:rsid w:val="239161EE"/>
    <w:rsid w:val="23F5677C"/>
    <w:rsid w:val="23FE274D"/>
    <w:rsid w:val="2409047A"/>
    <w:rsid w:val="241C052D"/>
    <w:rsid w:val="241F1A4B"/>
    <w:rsid w:val="24341D04"/>
    <w:rsid w:val="244374AC"/>
    <w:rsid w:val="24466FD8"/>
    <w:rsid w:val="246E1E20"/>
    <w:rsid w:val="2494F809"/>
    <w:rsid w:val="24CA7C09"/>
    <w:rsid w:val="24EC4023"/>
    <w:rsid w:val="24FBD366"/>
    <w:rsid w:val="25814FFE"/>
    <w:rsid w:val="25DA3E7C"/>
    <w:rsid w:val="25E42F4C"/>
    <w:rsid w:val="261C6242"/>
    <w:rsid w:val="26347A30"/>
    <w:rsid w:val="26393D02"/>
    <w:rsid w:val="26955FF5"/>
    <w:rsid w:val="26AB260E"/>
    <w:rsid w:val="26C07516"/>
    <w:rsid w:val="26E66850"/>
    <w:rsid w:val="27277595"/>
    <w:rsid w:val="274E2D73"/>
    <w:rsid w:val="2753038A"/>
    <w:rsid w:val="27675BE3"/>
    <w:rsid w:val="27A20135"/>
    <w:rsid w:val="27D74A6C"/>
    <w:rsid w:val="27DF30FC"/>
    <w:rsid w:val="27F3904B"/>
    <w:rsid w:val="27FFAD2E"/>
    <w:rsid w:val="285B4F41"/>
    <w:rsid w:val="287B7B98"/>
    <w:rsid w:val="287D60AB"/>
    <w:rsid w:val="288D3427"/>
    <w:rsid w:val="28CD7CC8"/>
    <w:rsid w:val="29422464"/>
    <w:rsid w:val="296C3F7D"/>
    <w:rsid w:val="29B658A9"/>
    <w:rsid w:val="29D46E34"/>
    <w:rsid w:val="29F00112"/>
    <w:rsid w:val="29FA24AC"/>
    <w:rsid w:val="29FBBC6E"/>
    <w:rsid w:val="2A2D4EC2"/>
    <w:rsid w:val="2A38779C"/>
    <w:rsid w:val="2A84085A"/>
    <w:rsid w:val="2A922F77"/>
    <w:rsid w:val="2A9E06F7"/>
    <w:rsid w:val="2AB32EED"/>
    <w:rsid w:val="2AC84BEB"/>
    <w:rsid w:val="2ACD3C24"/>
    <w:rsid w:val="2ACF3736"/>
    <w:rsid w:val="2B453F3B"/>
    <w:rsid w:val="2B634913"/>
    <w:rsid w:val="2B724B56"/>
    <w:rsid w:val="2B964CE9"/>
    <w:rsid w:val="2BA647AD"/>
    <w:rsid w:val="2BB05DAB"/>
    <w:rsid w:val="2BCA73A8"/>
    <w:rsid w:val="2BFC4AD7"/>
    <w:rsid w:val="2C673566"/>
    <w:rsid w:val="2C815051"/>
    <w:rsid w:val="2C8965FC"/>
    <w:rsid w:val="2CA7552A"/>
    <w:rsid w:val="2CA814B4"/>
    <w:rsid w:val="2CC633AC"/>
    <w:rsid w:val="2D067C4C"/>
    <w:rsid w:val="2D3E35CA"/>
    <w:rsid w:val="2D3E73E6"/>
    <w:rsid w:val="2D406CBA"/>
    <w:rsid w:val="2D4626B9"/>
    <w:rsid w:val="2D726D56"/>
    <w:rsid w:val="2D7E418F"/>
    <w:rsid w:val="2DBD6E05"/>
    <w:rsid w:val="2DCE2518"/>
    <w:rsid w:val="2DDF74A7"/>
    <w:rsid w:val="2DEE89C5"/>
    <w:rsid w:val="2E47051C"/>
    <w:rsid w:val="2E5B5226"/>
    <w:rsid w:val="2E6913B6"/>
    <w:rsid w:val="2EF7DF6D"/>
    <w:rsid w:val="2F191EB9"/>
    <w:rsid w:val="2F994DA8"/>
    <w:rsid w:val="2FA84FEB"/>
    <w:rsid w:val="2FAC3343"/>
    <w:rsid w:val="2FBB13DF"/>
    <w:rsid w:val="2FCA4F61"/>
    <w:rsid w:val="2FDF4046"/>
    <w:rsid w:val="2FF607C1"/>
    <w:rsid w:val="2FFD3071"/>
    <w:rsid w:val="2FFF3C56"/>
    <w:rsid w:val="2FFFC27F"/>
    <w:rsid w:val="302C5C1C"/>
    <w:rsid w:val="303A4C93"/>
    <w:rsid w:val="309F019C"/>
    <w:rsid w:val="30A532D8"/>
    <w:rsid w:val="31442AF1"/>
    <w:rsid w:val="317F1D7B"/>
    <w:rsid w:val="318D33AD"/>
    <w:rsid w:val="318D5453"/>
    <w:rsid w:val="31BC0B24"/>
    <w:rsid w:val="31F70D0A"/>
    <w:rsid w:val="31FC423E"/>
    <w:rsid w:val="3216448E"/>
    <w:rsid w:val="32201EB1"/>
    <w:rsid w:val="322E6E8A"/>
    <w:rsid w:val="32933D30"/>
    <w:rsid w:val="32C263C3"/>
    <w:rsid w:val="32CC7242"/>
    <w:rsid w:val="32FFDCE5"/>
    <w:rsid w:val="33EE5028"/>
    <w:rsid w:val="33F425AD"/>
    <w:rsid w:val="33FD6E00"/>
    <w:rsid w:val="33FE015E"/>
    <w:rsid w:val="340706E9"/>
    <w:rsid w:val="34256C0A"/>
    <w:rsid w:val="34305D8B"/>
    <w:rsid w:val="34313AAC"/>
    <w:rsid w:val="34476B80"/>
    <w:rsid w:val="34580D8D"/>
    <w:rsid w:val="34930017"/>
    <w:rsid w:val="34AD7F87"/>
    <w:rsid w:val="34B32468"/>
    <w:rsid w:val="34FD36E3"/>
    <w:rsid w:val="34FFD68D"/>
    <w:rsid w:val="35245113"/>
    <w:rsid w:val="354D7276"/>
    <w:rsid w:val="35505F08"/>
    <w:rsid w:val="3555351F"/>
    <w:rsid w:val="3558300F"/>
    <w:rsid w:val="35A47552"/>
    <w:rsid w:val="35B244CD"/>
    <w:rsid w:val="35FD3B49"/>
    <w:rsid w:val="35FE9838"/>
    <w:rsid w:val="360B2A9A"/>
    <w:rsid w:val="36581710"/>
    <w:rsid w:val="366F6862"/>
    <w:rsid w:val="367DCA89"/>
    <w:rsid w:val="36A9323B"/>
    <w:rsid w:val="36AF3103"/>
    <w:rsid w:val="36C90920"/>
    <w:rsid w:val="36EF6654"/>
    <w:rsid w:val="371F5B92"/>
    <w:rsid w:val="373B6744"/>
    <w:rsid w:val="375515B4"/>
    <w:rsid w:val="379E1FAB"/>
    <w:rsid w:val="37A7B415"/>
    <w:rsid w:val="37B37D1F"/>
    <w:rsid w:val="37BB7471"/>
    <w:rsid w:val="37CE75B8"/>
    <w:rsid w:val="37DF8855"/>
    <w:rsid w:val="37DFB20E"/>
    <w:rsid w:val="37F31A17"/>
    <w:rsid w:val="37FDC544"/>
    <w:rsid w:val="382C33B7"/>
    <w:rsid w:val="38740160"/>
    <w:rsid w:val="387463B2"/>
    <w:rsid w:val="38795776"/>
    <w:rsid w:val="389D76B7"/>
    <w:rsid w:val="38A26A7B"/>
    <w:rsid w:val="38BE762D"/>
    <w:rsid w:val="38EA21D0"/>
    <w:rsid w:val="391B05DB"/>
    <w:rsid w:val="39693A3D"/>
    <w:rsid w:val="39C1344E"/>
    <w:rsid w:val="39DB4F50"/>
    <w:rsid w:val="39DFA19F"/>
    <w:rsid w:val="39F33FBF"/>
    <w:rsid w:val="39F500C5"/>
    <w:rsid w:val="39F5C935"/>
    <w:rsid w:val="3A2E433E"/>
    <w:rsid w:val="3A345349"/>
    <w:rsid w:val="3A3C2EFF"/>
    <w:rsid w:val="3A3C6A5B"/>
    <w:rsid w:val="3AA60379"/>
    <w:rsid w:val="3ACA4067"/>
    <w:rsid w:val="3AD7DED4"/>
    <w:rsid w:val="3AF14532"/>
    <w:rsid w:val="3B247C1B"/>
    <w:rsid w:val="3B2A4F9E"/>
    <w:rsid w:val="3B5CC7F3"/>
    <w:rsid w:val="3B60677A"/>
    <w:rsid w:val="3B7905A1"/>
    <w:rsid w:val="3B8051AF"/>
    <w:rsid w:val="3B9D64E7"/>
    <w:rsid w:val="3BD71E31"/>
    <w:rsid w:val="3BEFF099"/>
    <w:rsid w:val="3BF129BC"/>
    <w:rsid w:val="3BF3992B"/>
    <w:rsid w:val="3BF430BF"/>
    <w:rsid w:val="3BF7A982"/>
    <w:rsid w:val="3C21415B"/>
    <w:rsid w:val="3C221C81"/>
    <w:rsid w:val="3C8F00E9"/>
    <w:rsid w:val="3C97266F"/>
    <w:rsid w:val="3CAE3557"/>
    <w:rsid w:val="3CBD0327"/>
    <w:rsid w:val="3CDC5B7D"/>
    <w:rsid w:val="3CFD6976"/>
    <w:rsid w:val="3D097AF5"/>
    <w:rsid w:val="3D714146"/>
    <w:rsid w:val="3D7B32D1"/>
    <w:rsid w:val="3D87623F"/>
    <w:rsid w:val="3D8D76F8"/>
    <w:rsid w:val="3D90017F"/>
    <w:rsid w:val="3D9A41C5"/>
    <w:rsid w:val="3DA461EF"/>
    <w:rsid w:val="3DAE000B"/>
    <w:rsid w:val="3DAFBAA0"/>
    <w:rsid w:val="3DBB4D20"/>
    <w:rsid w:val="3DDE5AEA"/>
    <w:rsid w:val="3E0B71A4"/>
    <w:rsid w:val="3E1F46CA"/>
    <w:rsid w:val="3E444CD0"/>
    <w:rsid w:val="3E66B8C0"/>
    <w:rsid w:val="3E8B1D5F"/>
    <w:rsid w:val="3EBDD73B"/>
    <w:rsid w:val="3ED01E68"/>
    <w:rsid w:val="3EEB27FE"/>
    <w:rsid w:val="3EF618CF"/>
    <w:rsid w:val="3F7F7352"/>
    <w:rsid w:val="3F7F9C76"/>
    <w:rsid w:val="3F936006"/>
    <w:rsid w:val="3F9CAB23"/>
    <w:rsid w:val="3FB44AD4"/>
    <w:rsid w:val="3FB9556F"/>
    <w:rsid w:val="3FBBAAAB"/>
    <w:rsid w:val="3FBFFE62"/>
    <w:rsid w:val="3FD7E125"/>
    <w:rsid w:val="3FDB057E"/>
    <w:rsid w:val="3FDB8F14"/>
    <w:rsid w:val="3FDD5EC8"/>
    <w:rsid w:val="3FED62D4"/>
    <w:rsid w:val="3FEF16AC"/>
    <w:rsid w:val="3FF70FA5"/>
    <w:rsid w:val="3FF754B1"/>
    <w:rsid w:val="3FFD4EDF"/>
    <w:rsid w:val="3FFE34C4"/>
    <w:rsid w:val="3FFE8EE3"/>
    <w:rsid w:val="3FFF70C4"/>
    <w:rsid w:val="3FFFEA1E"/>
    <w:rsid w:val="40BC4452"/>
    <w:rsid w:val="410A340F"/>
    <w:rsid w:val="4165522A"/>
    <w:rsid w:val="417B0D69"/>
    <w:rsid w:val="417FDB3B"/>
    <w:rsid w:val="41A73354"/>
    <w:rsid w:val="425A068B"/>
    <w:rsid w:val="426104F4"/>
    <w:rsid w:val="42883C37"/>
    <w:rsid w:val="42F001E1"/>
    <w:rsid w:val="433F68C1"/>
    <w:rsid w:val="436B5AA3"/>
    <w:rsid w:val="436D4711"/>
    <w:rsid w:val="43752E9B"/>
    <w:rsid w:val="437E8754"/>
    <w:rsid w:val="43A75A25"/>
    <w:rsid w:val="43DEE955"/>
    <w:rsid w:val="43E464C8"/>
    <w:rsid w:val="43F42155"/>
    <w:rsid w:val="440E76BA"/>
    <w:rsid w:val="442312D7"/>
    <w:rsid w:val="443D3AAF"/>
    <w:rsid w:val="44735770"/>
    <w:rsid w:val="449E3321"/>
    <w:rsid w:val="44DC3315"/>
    <w:rsid w:val="44F92119"/>
    <w:rsid w:val="451A5BEB"/>
    <w:rsid w:val="45380157"/>
    <w:rsid w:val="455C4456"/>
    <w:rsid w:val="45886FF9"/>
    <w:rsid w:val="45AA6CD7"/>
    <w:rsid w:val="45E76415"/>
    <w:rsid w:val="463B22BD"/>
    <w:rsid w:val="466E7D19"/>
    <w:rsid w:val="46BF9092"/>
    <w:rsid w:val="470628CB"/>
    <w:rsid w:val="470812B5"/>
    <w:rsid w:val="471A6376"/>
    <w:rsid w:val="47615D53"/>
    <w:rsid w:val="479A9E44"/>
    <w:rsid w:val="47D335F7"/>
    <w:rsid w:val="47D98CFC"/>
    <w:rsid w:val="47E0136E"/>
    <w:rsid w:val="48052B82"/>
    <w:rsid w:val="48084421"/>
    <w:rsid w:val="482079BC"/>
    <w:rsid w:val="482A09DD"/>
    <w:rsid w:val="48480CC1"/>
    <w:rsid w:val="485B09F4"/>
    <w:rsid w:val="487B6CD6"/>
    <w:rsid w:val="4880581D"/>
    <w:rsid w:val="48895562"/>
    <w:rsid w:val="488B67C6"/>
    <w:rsid w:val="488C5052"/>
    <w:rsid w:val="48AE6D76"/>
    <w:rsid w:val="48B849FB"/>
    <w:rsid w:val="48C42A3E"/>
    <w:rsid w:val="48D17DFA"/>
    <w:rsid w:val="48FC3F85"/>
    <w:rsid w:val="493A685C"/>
    <w:rsid w:val="49507E2D"/>
    <w:rsid w:val="49A76AF5"/>
    <w:rsid w:val="49DAA4ED"/>
    <w:rsid w:val="49DC7913"/>
    <w:rsid w:val="49E71C16"/>
    <w:rsid w:val="49EF3AEA"/>
    <w:rsid w:val="4A1C2405"/>
    <w:rsid w:val="4A5B2F2E"/>
    <w:rsid w:val="4A6C513B"/>
    <w:rsid w:val="4A783D80"/>
    <w:rsid w:val="4A82495E"/>
    <w:rsid w:val="4A8639A1"/>
    <w:rsid w:val="4B307F16"/>
    <w:rsid w:val="4B3D7CBF"/>
    <w:rsid w:val="4B4549ED"/>
    <w:rsid w:val="4BA91381"/>
    <w:rsid w:val="4BBC7C56"/>
    <w:rsid w:val="4BCC547D"/>
    <w:rsid w:val="4BE13716"/>
    <w:rsid w:val="4C003D8D"/>
    <w:rsid w:val="4C06511B"/>
    <w:rsid w:val="4C417F01"/>
    <w:rsid w:val="4C685F90"/>
    <w:rsid w:val="4CD46FC7"/>
    <w:rsid w:val="4CD62D3F"/>
    <w:rsid w:val="4CE90656"/>
    <w:rsid w:val="4CF201D6"/>
    <w:rsid w:val="4CF5766A"/>
    <w:rsid w:val="4D3A32CE"/>
    <w:rsid w:val="4D470B7A"/>
    <w:rsid w:val="4D477799"/>
    <w:rsid w:val="4D6E4D26"/>
    <w:rsid w:val="4DBE9DA8"/>
    <w:rsid w:val="4DFAD4B3"/>
    <w:rsid w:val="4E023682"/>
    <w:rsid w:val="4E0B4799"/>
    <w:rsid w:val="4E395334"/>
    <w:rsid w:val="4E6E76E6"/>
    <w:rsid w:val="4E7745FC"/>
    <w:rsid w:val="4E79C697"/>
    <w:rsid w:val="4E7FEB00"/>
    <w:rsid w:val="4EDA7ABB"/>
    <w:rsid w:val="4EFCEAC4"/>
    <w:rsid w:val="4EFF2ADE"/>
    <w:rsid w:val="4F1D4C56"/>
    <w:rsid w:val="4F3076C6"/>
    <w:rsid w:val="4F812B48"/>
    <w:rsid w:val="4F934F18"/>
    <w:rsid w:val="4F9B739D"/>
    <w:rsid w:val="4FA113E3"/>
    <w:rsid w:val="4FAD5196"/>
    <w:rsid w:val="4FBFF530"/>
    <w:rsid w:val="4FE7D711"/>
    <w:rsid w:val="4FEB2083"/>
    <w:rsid w:val="4FF46782"/>
    <w:rsid w:val="4FF7F7F0"/>
    <w:rsid w:val="4FFE7D77"/>
    <w:rsid w:val="5039786D"/>
    <w:rsid w:val="50702E94"/>
    <w:rsid w:val="50D21228"/>
    <w:rsid w:val="50FE081B"/>
    <w:rsid w:val="510936E3"/>
    <w:rsid w:val="513F4CD2"/>
    <w:rsid w:val="51864D34"/>
    <w:rsid w:val="51976F41"/>
    <w:rsid w:val="51D3671A"/>
    <w:rsid w:val="522307D5"/>
    <w:rsid w:val="52350BA2"/>
    <w:rsid w:val="527FA325"/>
    <w:rsid w:val="52943481"/>
    <w:rsid w:val="529B0814"/>
    <w:rsid w:val="52BE22AC"/>
    <w:rsid w:val="52C424A4"/>
    <w:rsid w:val="52C670DA"/>
    <w:rsid w:val="52E02222"/>
    <w:rsid w:val="52E8557B"/>
    <w:rsid w:val="52F537F4"/>
    <w:rsid w:val="532742F5"/>
    <w:rsid w:val="533F05E1"/>
    <w:rsid w:val="535A43FE"/>
    <w:rsid w:val="53615A44"/>
    <w:rsid w:val="536A3872"/>
    <w:rsid w:val="536E5257"/>
    <w:rsid w:val="53729849"/>
    <w:rsid w:val="53D17DBD"/>
    <w:rsid w:val="542645AC"/>
    <w:rsid w:val="5449029B"/>
    <w:rsid w:val="546E7D01"/>
    <w:rsid w:val="546F450B"/>
    <w:rsid w:val="54795408"/>
    <w:rsid w:val="54BF396A"/>
    <w:rsid w:val="54C0055D"/>
    <w:rsid w:val="54D83366"/>
    <w:rsid w:val="54E02F68"/>
    <w:rsid w:val="54FCCB9D"/>
    <w:rsid w:val="55C23E61"/>
    <w:rsid w:val="55D343A1"/>
    <w:rsid w:val="55EE7C22"/>
    <w:rsid w:val="55F52488"/>
    <w:rsid w:val="56392963"/>
    <w:rsid w:val="567710EF"/>
    <w:rsid w:val="56AB0D99"/>
    <w:rsid w:val="56C33EE1"/>
    <w:rsid w:val="56CF2CD9"/>
    <w:rsid w:val="56D55E16"/>
    <w:rsid w:val="56EFBDE2"/>
    <w:rsid w:val="56FD6C4D"/>
    <w:rsid w:val="56FFA6B8"/>
    <w:rsid w:val="572528F9"/>
    <w:rsid w:val="57354BD2"/>
    <w:rsid w:val="57433DE0"/>
    <w:rsid w:val="57684EDC"/>
    <w:rsid w:val="57803FD4"/>
    <w:rsid w:val="57BFFEE4"/>
    <w:rsid w:val="57DEDAB3"/>
    <w:rsid w:val="57E722A5"/>
    <w:rsid w:val="57EB0363"/>
    <w:rsid w:val="57F14ED1"/>
    <w:rsid w:val="57F26339"/>
    <w:rsid w:val="57F90FDF"/>
    <w:rsid w:val="57FF1973"/>
    <w:rsid w:val="57FF63C2"/>
    <w:rsid w:val="58030690"/>
    <w:rsid w:val="58490869"/>
    <w:rsid w:val="585316E8"/>
    <w:rsid w:val="586631C9"/>
    <w:rsid w:val="58777AE3"/>
    <w:rsid w:val="587B2B44"/>
    <w:rsid w:val="58D65CBB"/>
    <w:rsid w:val="58FDC1E9"/>
    <w:rsid w:val="594A2A88"/>
    <w:rsid w:val="595D6E26"/>
    <w:rsid w:val="59B461B6"/>
    <w:rsid w:val="59BCC669"/>
    <w:rsid w:val="59D95C1D"/>
    <w:rsid w:val="59EC0C94"/>
    <w:rsid w:val="5A0FF44B"/>
    <w:rsid w:val="5A1F6A09"/>
    <w:rsid w:val="5A24333C"/>
    <w:rsid w:val="5A28616B"/>
    <w:rsid w:val="5A4B5AA3"/>
    <w:rsid w:val="5A7D3A59"/>
    <w:rsid w:val="5AF96577"/>
    <w:rsid w:val="5AFF3B00"/>
    <w:rsid w:val="5B0B62AA"/>
    <w:rsid w:val="5B1A64ED"/>
    <w:rsid w:val="5B305D11"/>
    <w:rsid w:val="5B482651"/>
    <w:rsid w:val="5B551AD3"/>
    <w:rsid w:val="5B5C6B06"/>
    <w:rsid w:val="5B778DA3"/>
    <w:rsid w:val="5B9FDFA4"/>
    <w:rsid w:val="5BA43FB8"/>
    <w:rsid w:val="5BB6966D"/>
    <w:rsid w:val="5BDF5458"/>
    <w:rsid w:val="5BDFABC7"/>
    <w:rsid w:val="5BFFAF3C"/>
    <w:rsid w:val="5C2A6C04"/>
    <w:rsid w:val="5C2F7D76"/>
    <w:rsid w:val="5C3564CD"/>
    <w:rsid w:val="5C4C26D6"/>
    <w:rsid w:val="5C9F536A"/>
    <w:rsid w:val="5CBFEE66"/>
    <w:rsid w:val="5CEB6393"/>
    <w:rsid w:val="5CFD0AFE"/>
    <w:rsid w:val="5D156F6C"/>
    <w:rsid w:val="5D3F223B"/>
    <w:rsid w:val="5D7A1B5A"/>
    <w:rsid w:val="5D7AAEF7"/>
    <w:rsid w:val="5D97750A"/>
    <w:rsid w:val="5DE6EF21"/>
    <w:rsid w:val="5DEEE05F"/>
    <w:rsid w:val="5DFE11F8"/>
    <w:rsid w:val="5E4F7B1F"/>
    <w:rsid w:val="5E9F9389"/>
    <w:rsid w:val="5EAC3900"/>
    <w:rsid w:val="5EBFDDFA"/>
    <w:rsid w:val="5ECB022A"/>
    <w:rsid w:val="5ECDAFC6"/>
    <w:rsid w:val="5EDF64BA"/>
    <w:rsid w:val="5EF75CC0"/>
    <w:rsid w:val="5F125E59"/>
    <w:rsid w:val="5F131BD1"/>
    <w:rsid w:val="5F1F2768"/>
    <w:rsid w:val="5F21609C"/>
    <w:rsid w:val="5F2E6A0B"/>
    <w:rsid w:val="5F36A975"/>
    <w:rsid w:val="5F666149"/>
    <w:rsid w:val="5FCB3CC1"/>
    <w:rsid w:val="5FCEA240"/>
    <w:rsid w:val="5FCFE225"/>
    <w:rsid w:val="5FD01D33"/>
    <w:rsid w:val="5FDDD2C3"/>
    <w:rsid w:val="5FED055D"/>
    <w:rsid w:val="5FEF36B1"/>
    <w:rsid w:val="5FEF8F60"/>
    <w:rsid w:val="5FEFA314"/>
    <w:rsid w:val="5FF5EF2B"/>
    <w:rsid w:val="5FF65C3E"/>
    <w:rsid w:val="5FF732A1"/>
    <w:rsid w:val="5FFB86B4"/>
    <w:rsid w:val="5FFEE6EC"/>
    <w:rsid w:val="5FFF43F5"/>
    <w:rsid w:val="5FFFEF18"/>
    <w:rsid w:val="600357A2"/>
    <w:rsid w:val="6017124D"/>
    <w:rsid w:val="60455DBA"/>
    <w:rsid w:val="60536729"/>
    <w:rsid w:val="607FED92"/>
    <w:rsid w:val="609E371C"/>
    <w:rsid w:val="617D527E"/>
    <w:rsid w:val="61AB60F1"/>
    <w:rsid w:val="61AC7DD2"/>
    <w:rsid w:val="61D03DA9"/>
    <w:rsid w:val="61D408F2"/>
    <w:rsid w:val="61FF0E0A"/>
    <w:rsid w:val="62157A0E"/>
    <w:rsid w:val="628A3F58"/>
    <w:rsid w:val="62DFCA1B"/>
    <w:rsid w:val="62FF92A1"/>
    <w:rsid w:val="632B74E9"/>
    <w:rsid w:val="637A221F"/>
    <w:rsid w:val="637D6CFE"/>
    <w:rsid w:val="63BA74E9"/>
    <w:rsid w:val="63C65464"/>
    <w:rsid w:val="63EB5177"/>
    <w:rsid w:val="64333781"/>
    <w:rsid w:val="643B23AA"/>
    <w:rsid w:val="645B0653"/>
    <w:rsid w:val="646048B5"/>
    <w:rsid w:val="64622E98"/>
    <w:rsid w:val="648844C8"/>
    <w:rsid w:val="64AF414A"/>
    <w:rsid w:val="64C574CA"/>
    <w:rsid w:val="64F2562B"/>
    <w:rsid w:val="6502427A"/>
    <w:rsid w:val="651D10B4"/>
    <w:rsid w:val="651D605C"/>
    <w:rsid w:val="654900FB"/>
    <w:rsid w:val="657F61AE"/>
    <w:rsid w:val="65BF11F7"/>
    <w:rsid w:val="65F7AEA8"/>
    <w:rsid w:val="6619507C"/>
    <w:rsid w:val="661C6676"/>
    <w:rsid w:val="667747F4"/>
    <w:rsid w:val="66807B4C"/>
    <w:rsid w:val="668313EA"/>
    <w:rsid w:val="669F273B"/>
    <w:rsid w:val="66B617C0"/>
    <w:rsid w:val="66BC5441"/>
    <w:rsid w:val="66C37A39"/>
    <w:rsid w:val="66DE39D3"/>
    <w:rsid w:val="66EFC918"/>
    <w:rsid w:val="66F5AFD0"/>
    <w:rsid w:val="66F61A44"/>
    <w:rsid w:val="67090219"/>
    <w:rsid w:val="670C6F9F"/>
    <w:rsid w:val="674C0AD9"/>
    <w:rsid w:val="67784CC7"/>
    <w:rsid w:val="677DFE84"/>
    <w:rsid w:val="67AE1467"/>
    <w:rsid w:val="67B101D9"/>
    <w:rsid w:val="67BFF1FD"/>
    <w:rsid w:val="67F160C5"/>
    <w:rsid w:val="67F77D69"/>
    <w:rsid w:val="682269E1"/>
    <w:rsid w:val="686B65DA"/>
    <w:rsid w:val="68BA526B"/>
    <w:rsid w:val="68EE660A"/>
    <w:rsid w:val="69412572"/>
    <w:rsid w:val="694F42E2"/>
    <w:rsid w:val="697C40F3"/>
    <w:rsid w:val="6A3824EC"/>
    <w:rsid w:val="6AA54025"/>
    <w:rsid w:val="6AAB53B4"/>
    <w:rsid w:val="6ABC4ECB"/>
    <w:rsid w:val="6AD62431"/>
    <w:rsid w:val="6ADFB08F"/>
    <w:rsid w:val="6AE03473"/>
    <w:rsid w:val="6AEE5BEB"/>
    <w:rsid w:val="6AEF91F4"/>
    <w:rsid w:val="6AFDF452"/>
    <w:rsid w:val="6AFF1E96"/>
    <w:rsid w:val="6B1D005F"/>
    <w:rsid w:val="6B264A26"/>
    <w:rsid w:val="6B6931F2"/>
    <w:rsid w:val="6B7BB555"/>
    <w:rsid w:val="6B7FFAE0"/>
    <w:rsid w:val="6B8F1C6F"/>
    <w:rsid w:val="6BA22313"/>
    <w:rsid w:val="6BBB990D"/>
    <w:rsid w:val="6BC3E78F"/>
    <w:rsid w:val="6BF84F2B"/>
    <w:rsid w:val="6BFDB74B"/>
    <w:rsid w:val="6C0703C8"/>
    <w:rsid w:val="6C2247CC"/>
    <w:rsid w:val="6C5C0714"/>
    <w:rsid w:val="6C691082"/>
    <w:rsid w:val="6C6C46CF"/>
    <w:rsid w:val="6C7E2993"/>
    <w:rsid w:val="6CAD5413"/>
    <w:rsid w:val="6CBB65E1"/>
    <w:rsid w:val="6CE34991"/>
    <w:rsid w:val="6CEF03EE"/>
    <w:rsid w:val="6CF73780"/>
    <w:rsid w:val="6D4EC4DE"/>
    <w:rsid w:val="6D625405"/>
    <w:rsid w:val="6D71FA42"/>
    <w:rsid w:val="6D765805"/>
    <w:rsid w:val="6DA87988"/>
    <w:rsid w:val="6DC5053A"/>
    <w:rsid w:val="6DCF3167"/>
    <w:rsid w:val="6DDE33AA"/>
    <w:rsid w:val="6DE51ED5"/>
    <w:rsid w:val="6DED3A23"/>
    <w:rsid w:val="6DF36E56"/>
    <w:rsid w:val="6E3D233E"/>
    <w:rsid w:val="6E7BA084"/>
    <w:rsid w:val="6EEFB726"/>
    <w:rsid w:val="6EF530A1"/>
    <w:rsid w:val="6EF759A0"/>
    <w:rsid w:val="6EFE093A"/>
    <w:rsid w:val="6EFF166A"/>
    <w:rsid w:val="6EFF3F0C"/>
    <w:rsid w:val="6F2C1907"/>
    <w:rsid w:val="6F451933"/>
    <w:rsid w:val="6F63000B"/>
    <w:rsid w:val="6F653D83"/>
    <w:rsid w:val="6F6FDCE2"/>
    <w:rsid w:val="6F767D3E"/>
    <w:rsid w:val="6F77021C"/>
    <w:rsid w:val="6F770C92"/>
    <w:rsid w:val="6F8C3791"/>
    <w:rsid w:val="6FBF1FC4"/>
    <w:rsid w:val="6FC14D32"/>
    <w:rsid w:val="6FC26D8C"/>
    <w:rsid w:val="6FE4739E"/>
    <w:rsid w:val="6FE80510"/>
    <w:rsid w:val="6FEA09BB"/>
    <w:rsid w:val="6FF64E7F"/>
    <w:rsid w:val="6FFF5BFD"/>
    <w:rsid w:val="6FFF6772"/>
    <w:rsid w:val="6FFF7D88"/>
    <w:rsid w:val="6FFFBD9F"/>
    <w:rsid w:val="6FFFFEA8"/>
    <w:rsid w:val="70061DD5"/>
    <w:rsid w:val="70111BF3"/>
    <w:rsid w:val="703A6FBE"/>
    <w:rsid w:val="703C0956"/>
    <w:rsid w:val="70614017"/>
    <w:rsid w:val="7073427E"/>
    <w:rsid w:val="70B70BFC"/>
    <w:rsid w:val="711C2B67"/>
    <w:rsid w:val="714D4ACF"/>
    <w:rsid w:val="71A54707"/>
    <w:rsid w:val="71A5805B"/>
    <w:rsid w:val="71A6157C"/>
    <w:rsid w:val="71A86C91"/>
    <w:rsid w:val="722B2DE0"/>
    <w:rsid w:val="722D66AE"/>
    <w:rsid w:val="723458D5"/>
    <w:rsid w:val="727069CC"/>
    <w:rsid w:val="727FB062"/>
    <w:rsid w:val="729A67AC"/>
    <w:rsid w:val="729C8EE6"/>
    <w:rsid w:val="729E176A"/>
    <w:rsid w:val="72DF48B7"/>
    <w:rsid w:val="72E2393D"/>
    <w:rsid w:val="72E96A79"/>
    <w:rsid w:val="72EB3537"/>
    <w:rsid w:val="73133AF6"/>
    <w:rsid w:val="73591E51"/>
    <w:rsid w:val="735A7977"/>
    <w:rsid w:val="7375030D"/>
    <w:rsid w:val="739A6AB9"/>
    <w:rsid w:val="73A62BBC"/>
    <w:rsid w:val="73AA062F"/>
    <w:rsid w:val="73DA4614"/>
    <w:rsid w:val="73EF6461"/>
    <w:rsid w:val="73F78816"/>
    <w:rsid w:val="73FDC3D5"/>
    <w:rsid w:val="73FF2D3D"/>
    <w:rsid w:val="73FFD067"/>
    <w:rsid w:val="745E567C"/>
    <w:rsid w:val="746E5488"/>
    <w:rsid w:val="746F1D15"/>
    <w:rsid w:val="74747811"/>
    <w:rsid w:val="7489BBFF"/>
    <w:rsid w:val="74933140"/>
    <w:rsid w:val="74F31E31"/>
    <w:rsid w:val="7513602F"/>
    <w:rsid w:val="753D30AC"/>
    <w:rsid w:val="75502DDF"/>
    <w:rsid w:val="7566482B"/>
    <w:rsid w:val="756EAB3D"/>
    <w:rsid w:val="75705230"/>
    <w:rsid w:val="757F6742"/>
    <w:rsid w:val="75DA6B4D"/>
    <w:rsid w:val="75E67A92"/>
    <w:rsid w:val="75ED4329"/>
    <w:rsid w:val="75EF7FE9"/>
    <w:rsid w:val="75F06371"/>
    <w:rsid w:val="76326989"/>
    <w:rsid w:val="763E70DC"/>
    <w:rsid w:val="763F3D36"/>
    <w:rsid w:val="768C6099"/>
    <w:rsid w:val="768E0063"/>
    <w:rsid w:val="7695182A"/>
    <w:rsid w:val="769E7260"/>
    <w:rsid w:val="76CD6CEC"/>
    <w:rsid w:val="76CFB1EA"/>
    <w:rsid w:val="76D70E6A"/>
    <w:rsid w:val="76F7AFA3"/>
    <w:rsid w:val="76FF3E45"/>
    <w:rsid w:val="773C5B85"/>
    <w:rsid w:val="775B0232"/>
    <w:rsid w:val="775F8C9A"/>
    <w:rsid w:val="7774F348"/>
    <w:rsid w:val="7777CE3A"/>
    <w:rsid w:val="777B6A75"/>
    <w:rsid w:val="777DF5F6"/>
    <w:rsid w:val="77AA9D3B"/>
    <w:rsid w:val="77B70EF4"/>
    <w:rsid w:val="77DD93A4"/>
    <w:rsid w:val="77DED5B3"/>
    <w:rsid w:val="77F66989"/>
    <w:rsid w:val="77F7BADE"/>
    <w:rsid w:val="77FF95F7"/>
    <w:rsid w:val="77FFD3FD"/>
    <w:rsid w:val="780E3485"/>
    <w:rsid w:val="7832132D"/>
    <w:rsid w:val="78EA354B"/>
    <w:rsid w:val="792F2D73"/>
    <w:rsid w:val="793BEF61"/>
    <w:rsid w:val="79877717"/>
    <w:rsid w:val="79982FA7"/>
    <w:rsid w:val="79A4232F"/>
    <w:rsid w:val="79B002F1"/>
    <w:rsid w:val="79B32F3E"/>
    <w:rsid w:val="79C30607"/>
    <w:rsid w:val="79EFF89C"/>
    <w:rsid w:val="79FDB2D1"/>
    <w:rsid w:val="79FF832E"/>
    <w:rsid w:val="79FFFBCA"/>
    <w:rsid w:val="7A5A025C"/>
    <w:rsid w:val="7A6BB4A7"/>
    <w:rsid w:val="7A9E53B7"/>
    <w:rsid w:val="7AA7E3DB"/>
    <w:rsid w:val="7AB30932"/>
    <w:rsid w:val="7AD85D51"/>
    <w:rsid w:val="7ADDCAB2"/>
    <w:rsid w:val="7ADF4689"/>
    <w:rsid w:val="7ADF7685"/>
    <w:rsid w:val="7ADF7F9C"/>
    <w:rsid w:val="7ADFFB04"/>
    <w:rsid w:val="7AE747FC"/>
    <w:rsid w:val="7AEFFBC6"/>
    <w:rsid w:val="7AF5A938"/>
    <w:rsid w:val="7AFF4833"/>
    <w:rsid w:val="7AFFAA30"/>
    <w:rsid w:val="7B152B01"/>
    <w:rsid w:val="7B2B82FF"/>
    <w:rsid w:val="7B2D8127"/>
    <w:rsid w:val="7B4A6E66"/>
    <w:rsid w:val="7B571C68"/>
    <w:rsid w:val="7B6E3C82"/>
    <w:rsid w:val="7B876E2F"/>
    <w:rsid w:val="7B8C1707"/>
    <w:rsid w:val="7BB75C2B"/>
    <w:rsid w:val="7BBDDC92"/>
    <w:rsid w:val="7BBE867D"/>
    <w:rsid w:val="7BBF2A6D"/>
    <w:rsid w:val="7BBFA7FF"/>
    <w:rsid w:val="7BCFE204"/>
    <w:rsid w:val="7BDD7285"/>
    <w:rsid w:val="7BE51063"/>
    <w:rsid w:val="7BEFE9F5"/>
    <w:rsid w:val="7BEFF874"/>
    <w:rsid w:val="7BF754FC"/>
    <w:rsid w:val="7BF76FCF"/>
    <w:rsid w:val="7BFA6329"/>
    <w:rsid w:val="7BFB1BD0"/>
    <w:rsid w:val="7BFB9EFF"/>
    <w:rsid w:val="7BFF01D5"/>
    <w:rsid w:val="7BFF2E5A"/>
    <w:rsid w:val="7C077F70"/>
    <w:rsid w:val="7C0B6B6A"/>
    <w:rsid w:val="7C2925EA"/>
    <w:rsid w:val="7C5BCAF5"/>
    <w:rsid w:val="7C7F4B23"/>
    <w:rsid w:val="7CB400F8"/>
    <w:rsid w:val="7CB73924"/>
    <w:rsid w:val="7CB93960"/>
    <w:rsid w:val="7CB974BC"/>
    <w:rsid w:val="7CBD6589"/>
    <w:rsid w:val="7CD72CD4"/>
    <w:rsid w:val="7CDE33C7"/>
    <w:rsid w:val="7CE74D0D"/>
    <w:rsid w:val="7D2A56FB"/>
    <w:rsid w:val="7D480840"/>
    <w:rsid w:val="7D5DF2FB"/>
    <w:rsid w:val="7D65131C"/>
    <w:rsid w:val="7D6FD38C"/>
    <w:rsid w:val="7D779E02"/>
    <w:rsid w:val="7D7F9B85"/>
    <w:rsid w:val="7D8A2C07"/>
    <w:rsid w:val="7DA0067C"/>
    <w:rsid w:val="7DB61C4E"/>
    <w:rsid w:val="7DBB0A7C"/>
    <w:rsid w:val="7DBEC57F"/>
    <w:rsid w:val="7DBF8100"/>
    <w:rsid w:val="7DBFC779"/>
    <w:rsid w:val="7DD6AAD7"/>
    <w:rsid w:val="7DD9EF8E"/>
    <w:rsid w:val="7DF05980"/>
    <w:rsid w:val="7DF76B51"/>
    <w:rsid w:val="7DF79FBD"/>
    <w:rsid w:val="7DFC071B"/>
    <w:rsid w:val="7DFCF6D5"/>
    <w:rsid w:val="7DFCFBCC"/>
    <w:rsid w:val="7DFEBB74"/>
    <w:rsid w:val="7DFF10E1"/>
    <w:rsid w:val="7DFF6FB3"/>
    <w:rsid w:val="7E137EC1"/>
    <w:rsid w:val="7E355268"/>
    <w:rsid w:val="7E37A392"/>
    <w:rsid w:val="7E492AC2"/>
    <w:rsid w:val="7E5FEB30"/>
    <w:rsid w:val="7E66E8A7"/>
    <w:rsid w:val="7E673EB7"/>
    <w:rsid w:val="7E67F5D9"/>
    <w:rsid w:val="7E77762B"/>
    <w:rsid w:val="7E7F63FC"/>
    <w:rsid w:val="7E7F8DCF"/>
    <w:rsid w:val="7EB371CD"/>
    <w:rsid w:val="7EBD76E5"/>
    <w:rsid w:val="7EDC6CED"/>
    <w:rsid w:val="7EDDB26F"/>
    <w:rsid w:val="7EDFCF5C"/>
    <w:rsid w:val="7EE63A57"/>
    <w:rsid w:val="7EE9B1A5"/>
    <w:rsid w:val="7EEEF7E5"/>
    <w:rsid w:val="7EEF3F5E"/>
    <w:rsid w:val="7EEF8726"/>
    <w:rsid w:val="7EEFBDE3"/>
    <w:rsid w:val="7EF1DBC7"/>
    <w:rsid w:val="7EFB4C15"/>
    <w:rsid w:val="7EFD87C8"/>
    <w:rsid w:val="7EFF6C8B"/>
    <w:rsid w:val="7F121106"/>
    <w:rsid w:val="7F31E444"/>
    <w:rsid w:val="7F451431"/>
    <w:rsid w:val="7F482D79"/>
    <w:rsid w:val="7F4D7787"/>
    <w:rsid w:val="7F4E65E2"/>
    <w:rsid w:val="7F59C00E"/>
    <w:rsid w:val="7F5A6980"/>
    <w:rsid w:val="7F5AEBB9"/>
    <w:rsid w:val="7F5E259D"/>
    <w:rsid w:val="7F6F1240"/>
    <w:rsid w:val="7F73FDD0"/>
    <w:rsid w:val="7F77070F"/>
    <w:rsid w:val="7F772C45"/>
    <w:rsid w:val="7F78E91A"/>
    <w:rsid w:val="7F7BCE8F"/>
    <w:rsid w:val="7F7C79FA"/>
    <w:rsid w:val="7F8E06BB"/>
    <w:rsid w:val="7F963AE5"/>
    <w:rsid w:val="7F975F9F"/>
    <w:rsid w:val="7F97A6EF"/>
    <w:rsid w:val="7F9B4C87"/>
    <w:rsid w:val="7F9E2D2B"/>
    <w:rsid w:val="7FA2248A"/>
    <w:rsid w:val="7FABAE23"/>
    <w:rsid w:val="7FAF274A"/>
    <w:rsid w:val="7FB17F8B"/>
    <w:rsid w:val="7FB3FB15"/>
    <w:rsid w:val="7FB4260F"/>
    <w:rsid w:val="7FB5DB86"/>
    <w:rsid w:val="7FB64187"/>
    <w:rsid w:val="7FB73EDF"/>
    <w:rsid w:val="7FB7A542"/>
    <w:rsid w:val="7FB95776"/>
    <w:rsid w:val="7FBB185A"/>
    <w:rsid w:val="7FBD86CB"/>
    <w:rsid w:val="7FBF33A6"/>
    <w:rsid w:val="7FCFE1E2"/>
    <w:rsid w:val="7FD07613"/>
    <w:rsid w:val="7FD34C25"/>
    <w:rsid w:val="7FD377EE"/>
    <w:rsid w:val="7FD5C725"/>
    <w:rsid w:val="7FD5D58A"/>
    <w:rsid w:val="7FD665D7"/>
    <w:rsid w:val="7FD88A8A"/>
    <w:rsid w:val="7FDB1EAD"/>
    <w:rsid w:val="7FDF0363"/>
    <w:rsid w:val="7FDF723A"/>
    <w:rsid w:val="7FDF7387"/>
    <w:rsid w:val="7FDFD376"/>
    <w:rsid w:val="7FE2C44E"/>
    <w:rsid w:val="7FE660F0"/>
    <w:rsid w:val="7FE74BC5"/>
    <w:rsid w:val="7FE8D02A"/>
    <w:rsid w:val="7FEB3987"/>
    <w:rsid w:val="7FEDD118"/>
    <w:rsid w:val="7FF67DA0"/>
    <w:rsid w:val="7FF71397"/>
    <w:rsid w:val="7FF77071"/>
    <w:rsid w:val="7FF9981B"/>
    <w:rsid w:val="7FF9E4FD"/>
    <w:rsid w:val="7FFB67BA"/>
    <w:rsid w:val="7FFBEED4"/>
    <w:rsid w:val="7FFBFE63"/>
    <w:rsid w:val="7FFC8D63"/>
    <w:rsid w:val="7FFCAA74"/>
    <w:rsid w:val="7FFD7929"/>
    <w:rsid w:val="7FFDE8AB"/>
    <w:rsid w:val="7FFEEAE4"/>
    <w:rsid w:val="7FFEEAF8"/>
    <w:rsid w:val="7FFF8C75"/>
    <w:rsid w:val="7FFF967A"/>
    <w:rsid w:val="7FFFC53B"/>
    <w:rsid w:val="87FFE858"/>
    <w:rsid w:val="8BDF75AE"/>
    <w:rsid w:val="8BFF1693"/>
    <w:rsid w:val="8BFF3228"/>
    <w:rsid w:val="8EDE00D9"/>
    <w:rsid w:val="8F7F2BB2"/>
    <w:rsid w:val="921F5B63"/>
    <w:rsid w:val="93FEAB56"/>
    <w:rsid w:val="95EBE703"/>
    <w:rsid w:val="97BE8129"/>
    <w:rsid w:val="97D7D4F8"/>
    <w:rsid w:val="9BE37F75"/>
    <w:rsid w:val="9C7F90BB"/>
    <w:rsid w:val="9CFB0606"/>
    <w:rsid w:val="9E59C468"/>
    <w:rsid w:val="9EDFF733"/>
    <w:rsid w:val="9F16AE24"/>
    <w:rsid w:val="9F5A305E"/>
    <w:rsid w:val="9F7F5182"/>
    <w:rsid w:val="9FD7DB12"/>
    <w:rsid w:val="9FDAB4F5"/>
    <w:rsid w:val="9FEF1A79"/>
    <w:rsid w:val="9FFF6D13"/>
    <w:rsid w:val="A3BAE6F1"/>
    <w:rsid w:val="A57A9A55"/>
    <w:rsid w:val="A6E9CD63"/>
    <w:rsid w:val="A77B8854"/>
    <w:rsid w:val="A7FE493D"/>
    <w:rsid w:val="ABFFFD07"/>
    <w:rsid w:val="ADFFC0B6"/>
    <w:rsid w:val="AE7D8E08"/>
    <w:rsid w:val="AE971CE6"/>
    <w:rsid w:val="AEF6E9CD"/>
    <w:rsid w:val="AF6F3C5D"/>
    <w:rsid w:val="AFC9AF89"/>
    <w:rsid w:val="AFFFB0BA"/>
    <w:rsid w:val="B1BB12C1"/>
    <w:rsid w:val="B1FF15E0"/>
    <w:rsid w:val="B373337D"/>
    <w:rsid w:val="B3B71F5A"/>
    <w:rsid w:val="B4B7FE46"/>
    <w:rsid w:val="B4CE2E70"/>
    <w:rsid w:val="B4F7C595"/>
    <w:rsid w:val="B6DFC3B0"/>
    <w:rsid w:val="B6F7E93A"/>
    <w:rsid w:val="B73D8371"/>
    <w:rsid w:val="B78FC5A2"/>
    <w:rsid w:val="B7AF9145"/>
    <w:rsid w:val="B7DF604A"/>
    <w:rsid w:val="B7DFCDA9"/>
    <w:rsid w:val="B7EE4722"/>
    <w:rsid w:val="B96722BB"/>
    <w:rsid w:val="B97B2DEB"/>
    <w:rsid w:val="B9CF9B34"/>
    <w:rsid w:val="B9DF9357"/>
    <w:rsid w:val="B9F3E43A"/>
    <w:rsid w:val="BA3FB506"/>
    <w:rsid w:val="BAB1E04C"/>
    <w:rsid w:val="BABF835A"/>
    <w:rsid w:val="BB58A088"/>
    <w:rsid w:val="BB637DEA"/>
    <w:rsid w:val="BB67AA90"/>
    <w:rsid w:val="BB73A943"/>
    <w:rsid w:val="BB753DCB"/>
    <w:rsid w:val="BB8B6BDF"/>
    <w:rsid w:val="BBD644BF"/>
    <w:rsid w:val="BBDFC333"/>
    <w:rsid w:val="BBEFFA0E"/>
    <w:rsid w:val="BBFA31A7"/>
    <w:rsid w:val="BBFEB963"/>
    <w:rsid w:val="BBFFC74B"/>
    <w:rsid w:val="BC723699"/>
    <w:rsid w:val="BCE6DC05"/>
    <w:rsid w:val="BD779A42"/>
    <w:rsid w:val="BD8C8940"/>
    <w:rsid w:val="BDDA0CA9"/>
    <w:rsid w:val="BDF7C01A"/>
    <w:rsid w:val="BDF8AFD2"/>
    <w:rsid w:val="BE168C8B"/>
    <w:rsid w:val="BE74821A"/>
    <w:rsid w:val="BE76A031"/>
    <w:rsid w:val="BE898AC0"/>
    <w:rsid w:val="BEAFB5FA"/>
    <w:rsid w:val="BF9F629B"/>
    <w:rsid w:val="BFB98F8E"/>
    <w:rsid w:val="BFBDBAA5"/>
    <w:rsid w:val="BFD75796"/>
    <w:rsid w:val="BFD814F9"/>
    <w:rsid w:val="BFDEC996"/>
    <w:rsid w:val="BFDEDD80"/>
    <w:rsid w:val="BFEE5594"/>
    <w:rsid w:val="BFEFF687"/>
    <w:rsid w:val="BFFE85CA"/>
    <w:rsid w:val="BFFF1834"/>
    <w:rsid w:val="BFFF9791"/>
    <w:rsid w:val="BFFFCE9C"/>
    <w:rsid w:val="C6182043"/>
    <w:rsid w:val="C66DD1C3"/>
    <w:rsid w:val="C73A8DBC"/>
    <w:rsid w:val="C75D58EC"/>
    <w:rsid w:val="C877C01B"/>
    <w:rsid w:val="CAFFE40F"/>
    <w:rsid w:val="CB523A6B"/>
    <w:rsid w:val="CBF42EAA"/>
    <w:rsid w:val="CBFFA760"/>
    <w:rsid w:val="CD6FA3C3"/>
    <w:rsid w:val="CE56C2F6"/>
    <w:rsid w:val="CE70BC90"/>
    <w:rsid w:val="CEFBAE6C"/>
    <w:rsid w:val="CF3F4793"/>
    <w:rsid w:val="CFC7BA94"/>
    <w:rsid w:val="CFCDE1BA"/>
    <w:rsid w:val="CFDFF285"/>
    <w:rsid w:val="CFF99F90"/>
    <w:rsid w:val="CFFAA43F"/>
    <w:rsid w:val="CFFB646E"/>
    <w:rsid w:val="CFFBC88B"/>
    <w:rsid w:val="D197F234"/>
    <w:rsid w:val="D31CE52C"/>
    <w:rsid w:val="D3CF1FB2"/>
    <w:rsid w:val="D3F74775"/>
    <w:rsid w:val="D5EF1A5F"/>
    <w:rsid w:val="D5FDF0A1"/>
    <w:rsid w:val="D6DD99F2"/>
    <w:rsid w:val="D776F2DE"/>
    <w:rsid w:val="D77869EF"/>
    <w:rsid w:val="D79FE789"/>
    <w:rsid w:val="D7CF5E42"/>
    <w:rsid w:val="D7D86CC1"/>
    <w:rsid w:val="D7FFADCB"/>
    <w:rsid w:val="D7FFFC05"/>
    <w:rsid w:val="D8DBDDE7"/>
    <w:rsid w:val="D8DCE6CC"/>
    <w:rsid w:val="D99CBC6F"/>
    <w:rsid w:val="D9BB90DE"/>
    <w:rsid w:val="D9EC53BC"/>
    <w:rsid w:val="D9F70BE7"/>
    <w:rsid w:val="D9FD5D93"/>
    <w:rsid w:val="DB2D434F"/>
    <w:rsid w:val="DB7B5A90"/>
    <w:rsid w:val="DBDBFF5B"/>
    <w:rsid w:val="DBF9D058"/>
    <w:rsid w:val="DC164C65"/>
    <w:rsid w:val="DCB32D7E"/>
    <w:rsid w:val="DD3A5397"/>
    <w:rsid w:val="DDEB090B"/>
    <w:rsid w:val="DDFFA1CD"/>
    <w:rsid w:val="DE2F4693"/>
    <w:rsid w:val="DEDFAB6F"/>
    <w:rsid w:val="DEEE7377"/>
    <w:rsid w:val="DEF5F79D"/>
    <w:rsid w:val="DF13FDD1"/>
    <w:rsid w:val="DF3B22DA"/>
    <w:rsid w:val="DF5E941B"/>
    <w:rsid w:val="DF6148AA"/>
    <w:rsid w:val="DF7283DA"/>
    <w:rsid w:val="DF7604D3"/>
    <w:rsid w:val="DFB2B3F6"/>
    <w:rsid w:val="DFBA787F"/>
    <w:rsid w:val="DFBF40E6"/>
    <w:rsid w:val="DFF3E266"/>
    <w:rsid w:val="DFF7CAB6"/>
    <w:rsid w:val="DFFA7BD7"/>
    <w:rsid w:val="DFFB7726"/>
    <w:rsid w:val="DFFCF83C"/>
    <w:rsid w:val="DFFE2C19"/>
    <w:rsid w:val="DFFEFE16"/>
    <w:rsid w:val="DFFF1DC2"/>
    <w:rsid w:val="DFFF2598"/>
    <w:rsid w:val="DFFF8BAE"/>
    <w:rsid w:val="DFFFBBB8"/>
    <w:rsid w:val="E1BB51AE"/>
    <w:rsid w:val="E524B6A7"/>
    <w:rsid w:val="E57FBDEF"/>
    <w:rsid w:val="E6FF0B4B"/>
    <w:rsid w:val="E7BFD2D8"/>
    <w:rsid w:val="E7BFF9B7"/>
    <w:rsid w:val="E7EE7005"/>
    <w:rsid w:val="E7EF2A5B"/>
    <w:rsid w:val="E7F78F33"/>
    <w:rsid w:val="E9D74C79"/>
    <w:rsid w:val="EACFB96B"/>
    <w:rsid w:val="EAF7011C"/>
    <w:rsid w:val="EAF79ED1"/>
    <w:rsid w:val="EAFA8CC2"/>
    <w:rsid w:val="EB5756EA"/>
    <w:rsid w:val="EB6DDF6E"/>
    <w:rsid w:val="EBF742A8"/>
    <w:rsid w:val="EBF9DFCF"/>
    <w:rsid w:val="EBFCB0E4"/>
    <w:rsid w:val="EBFFC287"/>
    <w:rsid w:val="EC6F5A16"/>
    <w:rsid w:val="EDE8AF8C"/>
    <w:rsid w:val="EDEF3E28"/>
    <w:rsid w:val="EDFDE6F6"/>
    <w:rsid w:val="EDFEA1B5"/>
    <w:rsid w:val="EE7FE90F"/>
    <w:rsid w:val="EEBF403D"/>
    <w:rsid w:val="EEFF89F8"/>
    <w:rsid w:val="EF1E85F6"/>
    <w:rsid w:val="EF3E8B8D"/>
    <w:rsid w:val="EF451BF9"/>
    <w:rsid w:val="EF7C325A"/>
    <w:rsid w:val="EFA54311"/>
    <w:rsid w:val="EFB551AC"/>
    <w:rsid w:val="EFBFC701"/>
    <w:rsid w:val="EFD03EFC"/>
    <w:rsid w:val="EFEBEFF2"/>
    <w:rsid w:val="EFECA99F"/>
    <w:rsid w:val="EFEF3470"/>
    <w:rsid w:val="EFEF5CE6"/>
    <w:rsid w:val="EFFA8131"/>
    <w:rsid w:val="EFFC0202"/>
    <w:rsid w:val="EFFF3474"/>
    <w:rsid w:val="EFFF7997"/>
    <w:rsid w:val="EFFFA7F3"/>
    <w:rsid w:val="EFFFCA7D"/>
    <w:rsid w:val="F15DE494"/>
    <w:rsid w:val="F1916351"/>
    <w:rsid w:val="F1DF3360"/>
    <w:rsid w:val="F2B75DD1"/>
    <w:rsid w:val="F2B81C72"/>
    <w:rsid w:val="F2FB8E4B"/>
    <w:rsid w:val="F37EB8FA"/>
    <w:rsid w:val="F3A72FD3"/>
    <w:rsid w:val="F3BBDC12"/>
    <w:rsid w:val="F3BE45C0"/>
    <w:rsid w:val="F3C7FCFB"/>
    <w:rsid w:val="F3F3D44C"/>
    <w:rsid w:val="F3F73957"/>
    <w:rsid w:val="F3FB63D0"/>
    <w:rsid w:val="F4E6A23D"/>
    <w:rsid w:val="F55548FB"/>
    <w:rsid w:val="F576BD81"/>
    <w:rsid w:val="F5AF193A"/>
    <w:rsid w:val="F5B34D59"/>
    <w:rsid w:val="F5CCCC5E"/>
    <w:rsid w:val="F5EDFC32"/>
    <w:rsid w:val="F5FFC54B"/>
    <w:rsid w:val="F6B68DC9"/>
    <w:rsid w:val="F6D2CF88"/>
    <w:rsid w:val="F6EF6BA2"/>
    <w:rsid w:val="F6F30939"/>
    <w:rsid w:val="F6FB5315"/>
    <w:rsid w:val="F6FBE570"/>
    <w:rsid w:val="F6FFBEFC"/>
    <w:rsid w:val="F729E958"/>
    <w:rsid w:val="F72A8275"/>
    <w:rsid w:val="F7352EA6"/>
    <w:rsid w:val="F752C8C8"/>
    <w:rsid w:val="F76FF023"/>
    <w:rsid w:val="F7A7ACBD"/>
    <w:rsid w:val="F7BE9399"/>
    <w:rsid w:val="F7DB8C60"/>
    <w:rsid w:val="F7DD1882"/>
    <w:rsid w:val="F7EC88CB"/>
    <w:rsid w:val="F7EF7B2B"/>
    <w:rsid w:val="F7F53ED8"/>
    <w:rsid w:val="F7F8B20C"/>
    <w:rsid w:val="F7FD7DDE"/>
    <w:rsid w:val="F7FF029B"/>
    <w:rsid w:val="F85FDC14"/>
    <w:rsid w:val="F8750E5B"/>
    <w:rsid w:val="F8EF597F"/>
    <w:rsid w:val="F91A60BA"/>
    <w:rsid w:val="F97FA549"/>
    <w:rsid w:val="F99F6C26"/>
    <w:rsid w:val="F9B70CF6"/>
    <w:rsid w:val="F9BE2C8E"/>
    <w:rsid w:val="F9D1AAFB"/>
    <w:rsid w:val="F9EDBE2D"/>
    <w:rsid w:val="F9FF6256"/>
    <w:rsid w:val="F9FF9543"/>
    <w:rsid w:val="FA726787"/>
    <w:rsid w:val="FABD52DF"/>
    <w:rsid w:val="FAC475AA"/>
    <w:rsid w:val="FAFF42C0"/>
    <w:rsid w:val="FB2BA337"/>
    <w:rsid w:val="FB4F0851"/>
    <w:rsid w:val="FB555073"/>
    <w:rsid w:val="FB572215"/>
    <w:rsid w:val="FB5F395A"/>
    <w:rsid w:val="FB7B34FE"/>
    <w:rsid w:val="FB8B56FB"/>
    <w:rsid w:val="FB94CB0A"/>
    <w:rsid w:val="FB990679"/>
    <w:rsid w:val="FB99A6F2"/>
    <w:rsid w:val="FBAFCBED"/>
    <w:rsid w:val="FBEBBD6C"/>
    <w:rsid w:val="FBEF9032"/>
    <w:rsid w:val="FBF78B02"/>
    <w:rsid w:val="FBF975F5"/>
    <w:rsid w:val="FBFD8D7B"/>
    <w:rsid w:val="FBFDD4BB"/>
    <w:rsid w:val="FBFF03FF"/>
    <w:rsid w:val="FBFF3D0A"/>
    <w:rsid w:val="FBFF8C42"/>
    <w:rsid w:val="FBFFB80B"/>
    <w:rsid w:val="FBFFCD88"/>
    <w:rsid w:val="FC2FCBEF"/>
    <w:rsid w:val="FC69A417"/>
    <w:rsid w:val="FC7D495E"/>
    <w:rsid w:val="FCE7F2D4"/>
    <w:rsid w:val="FCEFB642"/>
    <w:rsid w:val="FCFDF2E4"/>
    <w:rsid w:val="FD21BFCA"/>
    <w:rsid w:val="FD66B586"/>
    <w:rsid w:val="FD6F20BA"/>
    <w:rsid w:val="FD7FCF44"/>
    <w:rsid w:val="FDAD6702"/>
    <w:rsid w:val="FDB64BA4"/>
    <w:rsid w:val="FDB650F5"/>
    <w:rsid w:val="FDBB1471"/>
    <w:rsid w:val="FDDF71F3"/>
    <w:rsid w:val="FDF615A7"/>
    <w:rsid w:val="FDF65FFB"/>
    <w:rsid w:val="FDFB625D"/>
    <w:rsid w:val="FDFD3258"/>
    <w:rsid w:val="FDFF1027"/>
    <w:rsid w:val="FDFF34D2"/>
    <w:rsid w:val="FDFFBE50"/>
    <w:rsid w:val="FDFFCCD1"/>
    <w:rsid w:val="FDFFE363"/>
    <w:rsid w:val="FE1B77B6"/>
    <w:rsid w:val="FE378621"/>
    <w:rsid w:val="FE5F23FF"/>
    <w:rsid w:val="FE6F3E7C"/>
    <w:rsid w:val="FE72BFCB"/>
    <w:rsid w:val="FE7F93D4"/>
    <w:rsid w:val="FEABC2BB"/>
    <w:rsid w:val="FEAF10EC"/>
    <w:rsid w:val="FEB7451B"/>
    <w:rsid w:val="FEBB6066"/>
    <w:rsid w:val="FEBBBCDF"/>
    <w:rsid w:val="FEBE8A42"/>
    <w:rsid w:val="FEBFFBB7"/>
    <w:rsid w:val="FECF3947"/>
    <w:rsid w:val="FEDB3AB0"/>
    <w:rsid w:val="FEDF0218"/>
    <w:rsid w:val="FEED0E1A"/>
    <w:rsid w:val="FEF5FD78"/>
    <w:rsid w:val="FEF7791C"/>
    <w:rsid w:val="FEFB0C73"/>
    <w:rsid w:val="FEFB6D86"/>
    <w:rsid w:val="FEFDE810"/>
    <w:rsid w:val="FEFF1456"/>
    <w:rsid w:val="FEFF1BE3"/>
    <w:rsid w:val="FEFF5D16"/>
    <w:rsid w:val="FEFF90AF"/>
    <w:rsid w:val="FEFF95F5"/>
    <w:rsid w:val="FF0AA8A1"/>
    <w:rsid w:val="FF36ABAA"/>
    <w:rsid w:val="FF5E6480"/>
    <w:rsid w:val="FF5F1D5E"/>
    <w:rsid w:val="FF6D1277"/>
    <w:rsid w:val="FF77B70D"/>
    <w:rsid w:val="FF77C476"/>
    <w:rsid w:val="FF7A5552"/>
    <w:rsid w:val="FF7E26F0"/>
    <w:rsid w:val="FF7F10A0"/>
    <w:rsid w:val="FF8A830B"/>
    <w:rsid w:val="FF8D55EB"/>
    <w:rsid w:val="FF95F74E"/>
    <w:rsid w:val="FF9B74D7"/>
    <w:rsid w:val="FF9D6579"/>
    <w:rsid w:val="FF9FA19C"/>
    <w:rsid w:val="FFA35802"/>
    <w:rsid w:val="FFBF32A1"/>
    <w:rsid w:val="FFBF6EBC"/>
    <w:rsid w:val="FFBFEE15"/>
    <w:rsid w:val="FFD3158A"/>
    <w:rsid w:val="FFDEBE09"/>
    <w:rsid w:val="FFDEC007"/>
    <w:rsid w:val="FFDF4989"/>
    <w:rsid w:val="FFDFBD13"/>
    <w:rsid w:val="FFDFD05D"/>
    <w:rsid w:val="FFE21C95"/>
    <w:rsid w:val="FFEBD670"/>
    <w:rsid w:val="FFEC7188"/>
    <w:rsid w:val="FFECE2DC"/>
    <w:rsid w:val="FFEE93F1"/>
    <w:rsid w:val="FFEEA81F"/>
    <w:rsid w:val="FFEFA810"/>
    <w:rsid w:val="FFEFD7C7"/>
    <w:rsid w:val="FFF6F946"/>
    <w:rsid w:val="FFFA2C9B"/>
    <w:rsid w:val="FFFC0774"/>
    <w:rsid w:val="FFFD8669"/>
    <w:rsid w:val="FFFE75D7"/>
    <w:rsid w:val="FFFE98B0"/>
    <w:rsid w:val="FFFED388"/>
    <w:rsid w:val="FFFED5B6"/>
    <w:rsid w:val="FFFEDF0B"/>
    <w:rsid w:val="FFFF5069"/>
    <w:rsid w:val="FFFF9BC1"/>
    <w:rsid w:val="FFFFCCEA"/>
    <w:rsid w:val="FFFFD8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widowControl w:val="0"/>
      <w:ind w:firstLine="200" w:firstLineChars="200"/>
      <w:jc w:val="both"/>
    </w:pPr>
    <w:rPr>
      <w:rFonts w:ascii="Calibri" w:hAnsi="Calibri" w:eastAsia="宋体" w:cs="Times New Roman"/>
      <w:kern w:val="2"/>
      <w:sz w:val="21"/>
      <w:szCs w:val="22"/>
      <w:lang w:val="en-US" w:eastAsia="zh-CN" w:bidi="ar-SA"/>
    </w:rPr>
  </w:style>
  <w:style w:type="paragraph" w:styleId="5">
    <w:name w:val="annotation text"/>
    <w:basedOn w:val="1"/>
    <w:qFormat/>
    <w:uiPriority w:val="0"/>
    <w:pPr>
      <w:jc w:val="left"/>
    </w:pPr>
  </w:style>
  <w:style w:type="paragraph" w:styleId="6">
    <w:name w:val="Body Text"/>
    <w:basedOn w:val="1"/>
    <w:next w:val="1"/>
    <w:link w:val="29"/>
    <w:unhideWhenUsed/>
    <w:qFormat/>
    <w:uiPriority w:val="99"/>
    <w:pPr>
      <w:spacing w:after="120"/>
    </w:pPr>
  </w:style>
  <w:style w:type="paragraph" w:styleId="7">
    <w:name w:val="Body Text Indent"/>
    <w:basedOn w:val="1"/>
    <w:next w:val="8"/>
    <w:qFormat/>
    <w:uiPriority w:val="0"/>
    <w:pPr>
      <w:spacing w:after="120"/>
      <w:ind w:left="420" w:leftChars="200"/>
    </w:pPr>
  </w:style>
  <w:style w:type="paragraph" w:styleId="8">
    <w:name w:val="Body Text First Indent 2"/>
    <w:basedOn w:val="7"/>
    <w:next w:val="1"/>
    <w:unhideWhenUsed/>
    <w:qFormat/>
    <w:uiPriority w:val="99"/>
    <w:pPr>
      <w:ind w:firstLine="420" w:firstLineChars="200"/>
    </w:pPr>
    <w:rPr>
      <w:rFonts w:ascii="Times New Roman" w:hAnsi="Times New Roman" w:eastAsia="FangSong_GB2312"/>
      <w:sz w:val="32"/>
    </w:rPr>
  </w:style>
  <w:style w:type="paragraph" w:styleId="9">
    <w:name w:val="toc 5"/>
    <w:basedOn w:val="1"/>
    <w:next w:val="1"/>
    <w:unhideWhenUsed/>
    <w:qFormat/>
    <w:uiPriority w:val="39"/>
    <w:pPr>
      <w:spacing w:line="600" w:lineRule="exact"/>
      <w:ind w:firstLine="720" w:firstLineChars="200"/>
    </w:pPr>
    <w:rPr>
      <w:rFonts w:ascii="Calibri" w:hAnsi="Calibri"/>
    </w:rPr>
  </w:style>
  <w:style w:type="paragraph" w:styleId="10">
    <w:name w:val="Plain Text"/>
    <w:basedOn w:val="1"/>
    <w:qFormat/>
    <w:uiPriority w:val="0"/>
    <w:rPr>
      <w:rFonts w:ascii="宋体" w:hAnsi="Times New Roman" w:eastAsia="宋体" w:cs="Times New Roman"/>
    </w:rPr>
  </w:style>
  <w:style w:type="paragraph" w:styleId="11">
    <w:name w:val="Date"/>
    <w:basedOn w:val="1"/>
    <w:next w:val="1"/>
    <w:qFormat/>
    <w:uiPriority w:val="0"/>
    <w:rPr>
      <w:rFonts w:ascii="FangSong_GB2312"/>
      <w:sz w:val="28"/>
      <w:szCs w:val="20"/>
    </w:rPr>
  </w:style>
  <w:style w:type="paragraph" w:styleId="12">
    <w:name w:val="Balloon Text"/>
    <w:basedOn w:val="1"/>
    <w:next w:val="1"/>
    <w:qFormat/>
    <w:uiPriority w:val="0"/>
    <w:rPr>
      <w:sz w:val="18"/>
      <w:szCs w:val="18"/>
    </w:rPr>
  </w:style>
  <w:style w:type="paragraph" w:styleId="13">
    <w:name w:val="footer"/>
    <w:basedOn w:val="1"/>
    <w:next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w:basedOn w:val="6"/>
    <w:next w:val="14"/>
    <w:qFormat/>
    <w:uiPriority w:val="99"/>
    <w:pPr>
      <w:spacing w:after="120"/>
      <w:ind w:firstLine="420" w:firstLineChars="100"/>
    </w:pPr>
    <w:rPr>
      <w:sz w:val="21"/>
      <w:szCs w:val="21"/>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Emphasis"/>
    <w:basedOn w:val="19"/>
    <w:qFormat/>
    <w:uiPriority w:val="0"/>
    <w:rPr>
      <w:i/>
    </w:rPr>
  </w:style>
  <w:style w:type="character" w:styleId="22">
    <w:name w:val="Hyperlink"/>
    <w:basedOn w:val="19"/>
    <w:qFormat/>
    <w:uiPriority w:val="0"/>
    <w:rPr>
      <w:color w:val="0000FF"/>
      <w:u w:val="single"/>
    </w:rPr>
  </w:style>
  <w:style w:type="paragraph" w:customStyle="1" w:styleId="23">
    <w:name w:val="Normal Indent1"/>
    <w:basedOn w:val="24"/>
    <w:next w:val="1"/>
    <w:qFormat/>
    <w:uiPriority w:val="0"/>
    <w:pPr>
      <w:spacing w:line="660" w:lineRule="exact"/>
      <w:ind w:firstLine="720" w:firstLineChars="200"/>
    </w:pPr>
    <w:rPr>
      <w:rFonts w:ascii="Times New Roman" w:hAnsi="Times New Roman" w:eastAsia="楷体_GB2312" w:cs="Times New Roman"/>
      <w:sz w:val="36"/>
      <w:szCs w:val="36"/>
    </w:rPr>
  </w:style>
  <w:style w:type="paragraph" w:customStyle="1" w:styleId="24">
    <w:name w:val="正文 New New New"/>
    <w:next w:val="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5">
    <w:name w:val="正文 2"/>
    <w:qFormat/>
    <w:uiPriority w:val="0"/>
    <w:pPr>
      <w:widowControl w:val="0"/>
      <w:ind w:firstLine="200" w:firstLineChars="200"/>
      <w:jc w:val="both"/>
    </w:pPr>
    <w:rPr>
      <w:rFonts w:ascii="Times New Roman" w:hAnsi="Times New Roman" w:eastAsia="宋体" w:cs="Times New Roman"/>
      <w:kern w:val="2"/>
      <w:sz w:val="24"/>
      <w:szCs w:val="24"/>
      <w:lang w:val="en-US" w:eastAsia="zh-CN" w:bidi="ar-SA"/>
    </w:rPr>
  </w:style>
  <w:style w:type="paragraph" w:customStyle="1" w:styleId="26">
    <w:name w:val="WPSOffice手动目录 1"/>
    <w:qFormat/>
    <w:uiPriority w:val="0"/>
    <w:pPr>
      <w:ind w:leftChars="0"/>
    </w:pPr>
    <w:rPr>
      <w:rFonts w:ascii="Times New Roman" w:hAnsi="Times New Roman" w:eastAsia="宋体" w:cs="Times New Roman"/>
      <w:sz w:val="20"/>
      <w:szCs w:val="20"/>
    </w:rPr>
  </w:style>
  <w:style w:type="paragraph" w:customStyle="1" w:styleId="27">
    <w:name w:val="WPSOffice手动目录 2"/>
    <w:qFormat/>
    <w:uiPriority w:val="0"/>
    <w:pPr>
      <w:ind w:leftChars="200"/>
    </w:pPr>
    <w:rPr>
      <w:rFonts w:ascii="Times New Roman" w:hAnsi="Times New Roman" w:eastAsia="宋体" w:cs="Times New Roman"/>
      <w:sz w:val="20"/>
      <w:szCs w:val="20"/>
    </w:rPr>
  </w:style>
  <w:style w:type="paragraph" w:customStyle="1" w:styleId="28">
    <w:name w:val="_Style 13"/>
    <w:qFormat/>
    <w:uiPriority w:val="0"/>
    <w:pPr>
      <w:spacing w:before="120" w:after="120" w:line="288" w:lineRule="auto"/>
    </w:pPr>
    <w:rPr>
      <w:rFonts w:ascii="Arial" w:hAnsi="Arial" w:eastAsia="等线" w:cs="Arial"/>
      <w:sz w:val="22"/>
      <w:szCs w:val="22"/>
      <w:lang w:val="en-US" w:eastAsia="zh-CN" w:bidi="ar-SA"/>
    </w:rPr>
  </w:style>
  <w:style w:type="character" w:customStyle="1" w:styleId="29">
    <w:name w:val="正文文本 Char"/>
    <w:link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jinhu.me</Company>
  <Pages>34</Pages>
  <Words>14976</Words>
  <Characters>15035</Characters>
  <Lines>88</Lines>
  <Paragraphs>24</Paragraphs>
  <TotalTime>3</TotalTime>
  <ScaleCrop>false</ScaleCrop>
  <LinksUpToDate>false</LinksUpToDate>
  <CharactersWithSpaces>15312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2022-12-06T10:47:00Z</dcterms:created>
  <dc:creator>shaka</dc:creator>
  <cp:lastModifiedBy>冬冬王</cp:lastModifiedBy>
  <cp:lastPrinted>2026-09-04T08:41:51Z</cp:lastPrinted>
  <dcterms:modified xsi:type="dcterms:W3CDTF">2026-09-04T08:41:54Z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B2A9B0345EEE4287A497266B7E01AFBC_13</vt:lpwstr>
  </property>
  <property fmtid="{D5CDD505-2E9C-101B-9397-08002B2CF9AE}" pid="4" name="KSOTemplateDocerSaveRecord">
    <vt:lpwstr>eyJoZGlkIjoiYmNmY2Y1ZDY1MzJhN2IwOWYzNGRiYzQ2MmE5YjBlOWQiLCJ1c2VySWQiOiIxNDk2MDI2NzM5In0=</vt:lpwstr>
  </property>
</Properties>
</file>