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3D632">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snapToGrid/>
          <w:color w:val="auto"/>
          <w:kern w:val="2"/>
          <w:sz w:val="44"/>
          <w:szCs w:val="44"/>
          <w:highlight w:val="none"/>
          <w:lang w:eastAsia="zh-CN"/>
        </w:rPr>
      </w:pPr>
      <w:bookmarkStart w:id="0" w:name="_GoBack"/>
      <w:bookmarkEnd w:id="0"/>
      <w:r>
        <w:rPr>
          <w:rFonts w:hint="eastAsia" w:ascii="Times New Roman" w:hAnsi="Times New Roman" w:eastAsia="方正小标宋简体" w:cs="方正小标宋简体"/>
          <w:snapToGrid/>
          <w:color w:val="auto"/>
          <w:kern w:val="2"/>
          <w:sz w:val="44"/>
          <w:szCs w:val="44"/>
          <w:highlight w:val="none"/>
          <w:lang w:eastAsia="zh-CN"/>
        </w:rPr>
        <w:t>咸宁市市级政府投资项目全过程</w:t>
      </w:r>
    </w:p>
    <w:p w14:paraId="3183A8F1">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宋体" w:cs="宋体"/>
          <w:sz w:val="39"/>
          <w:szCs w:val="39"/>
          <w:lang w:eastAsia="zh-CN"/>
        </w:rPr>
      </w:pPr>
      <w:r>
        <w:rPr>
          <w:rFonts w:hint="eastAsia" w:ascii="Times New Roman" w:hAnsi="Times New Roman" w:eastAsia="方正小标宋简体" w:cs="方正小标宋简体"/>
          <w:snapToGrid/>
          <w:color w:val="auto"/>
          <w:kern w:val="2"/>
          <w:sz w:val="44"/>
          <w:szCs w:val="44"/>
          <w:highlight w:val="none"/>
          <w:lang w:eastAsia="zh-CN"/>
        </w:rPr>
        <w:t>预算绩效管理办法（试行）</w:t>
      </w:r>
    </w:p>
    <w:p w14:paraId="2964B1E0">
      <w:pPr>
        <w:keepNext w:val="0"/>
        <w:keepLines w:val="0"/>
        <w:pageBreakBefore w:val="0"/>
        <w:widowControl/>
        <w:kinsoku/>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楷体" w:cs="宋体"/>
          <w:b w:val="0"/>
          <w:bCs/>
          <w:snapToGrid/>
          <w:color w:val="auto"/>
          <w:kern w:val="0"/>
          <w:sz w:val="36"/>
          <w:szCs w:val="36"/>
          <w:lang w:val="en-US" w:eastAsia="zh-CN" w:bidi="ar"/>
        </w:rPr>
      </w:pPr>
      <w:r>
        <w:rPr>
          <w:rFonts w:hint="eastAsia" w:ascii="Times New Roman" w:hAnsi="Times New Roman" w:eastAsia="楷体" w:cs="宋体"/>
          <w:b w:val="0"/>
          <w:bCs/>
          <w:snapToGrid/>
          <w:color w:val="auto"/>
          <w:kern w:val="0"/>
          <w:sz w:val="36"/>
          <w:szCs w:val="36"/>
          <w:lang w:val="en-US" w:eastAsia="zh-CN" w:bidi="ar"/>
        </w:rPr>
        <w:t>（征求意见稿）</w:t>
      </w:r>
    </w:p>
    <w:p w14:paraId="3BA6A7D3">
      <w:pPr>
        <w:pStyle w:val="2"/>
        <w:rPr>
          <w:rFonts w:hint="eastAsia" w:ascii="Times New Roman" w:hAnsi="Times New Roman"/>
          <w:lang w:val="en-US" w:eastAsia="zh-CN"/>
        </w:rPr>
      </w:pPr>
    </w:p>
    <w:p w14:paraId="431E978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黑体" w:cs="黑体"/>
          <w:snapToGrid/>
          <w:color w:val="auto"/>
          <w:kern w:val="2"/>
          <w:sz w:val="36"/>
          <w:szCs w:val="36"/>
          <w:lang w:val="en-US" w:eastAsia="zh-CN"/>
        </w:rPr>
      </w:pPr>
      <w:r>
        <w:rPr>
          <w:rFonts w:hint="eastAsia" w:ascii="Times New Roman" w:hAnsi="Times New Roman" w:eastAsia="黑体" w:cs="黑体"/>
          <w:snapToGrid/>
          <w:color w:val="auto"/>
          <w:kern w:val="2"/>
          <w:sz w:val="36"/>
          <w:szCs w:val="36"/>
          <w:lang w:val="en-US" w:eastAsia="zh-CN"/>
        </w:rPr>
        <w:t>第一章  总 则</w:t>
      </w:r>
    </w:p>
    <w:p w14:paraId="1413486C">
      <w:pPr>
        <w:rPr>
          <w:rFonts w:ascii="Times New Roman" w:hAnsi="Times New Roman"/>
        </w:rPr>
      </w:pPr>
    </w:p>
    <w:p w14:paraId="21170DD4">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ascii="Times New Roman" w:hAnsi="Times New Roman" w:eastAsia="仿宋" w:cs="仿宋"/>
          <w:snapToGrid w:val="0"/>
          <w:color w:val="000000"/>
          <w:spacing w:val="-5"/>
          <w:kern w:val="0"/>
          <w:sz w:val="36"/>
          <w:szCs w:val="36"/>
          <w:lang w:val="en-US" w:eastAsia="en-US" w:bidi="ar-SA"/>
        </w:rPr>
      </w:pPr>
      <w:r>
        <w:rPr>
          <w:rFonts w:hint="eastAsia" w:ascii="Times New Roman" w:hAnsi="Times New Roman" w:eastAsia="黑体" w:cs="黑体"/>
          <w:snapToGrid/>
          <w:color w:val="auto"/>
          <w:kern w:val="2"/>
          <w:sz w:val="36"/>
          <w:szCs w:val="36"/>
          <w:lang w:val="en-US" w:eastAsia="en-US" w:bidi="ar-SA"/>
        </w:rPr>
        <w:t>第一条</w:t>
      </w:r>
      <w:r>
        <w:rPr>
          <w:rFonts w:hint="eastAsia" w:ascii="Times New Roman" w:hAnsi="Times New Roman" w:eastAsia="黑体" w:cs="黑体"/>
          <w:snapToGrid w:val="0"/>
          <w:color w:val="000000"/>
          <w:spacing w:val="-5"/>
          <w:kern w:val="0"/>
          <w:sz w:val="36"/>
          <w:szCs w:val="36"/>
          <w:lang w:val="en-US" w:eastAsia="zh-CN" w:bidi="ar-SA"/>
        </w:rPr>
        <w:t xml:space="preserve">  </w:t>
      </w:r>
      <w:r>
        <w:rPr>
          <w:rFonts w:ascii="Times New Roman" w:hAnsi="Times New Roman" w:eastAsia="仿宋" w:cs="仿宋"/>
          <w:snapToGrid w:val="0"/>
          <w:color w:val="000000"/>
          <w:spacing w:val="-5"/>
          <w:kern w:val="0"/>
          <w:sz w:val="36"/>
          <w:szCs w:val="36"/>
          <w:lang w:val="en-US" w:eastAsia="en-US" w:bidi="ar-SA"/>
        </w:rPr>
        <w:t>为全面提升</w:t>
      </w:r>
      <w:r>
        <w:rPr>
          <w:rFonts w:hint="eastAsia" w:ascii="Times New Roman" w:hAnsi="Times New Roman" w:eastAsia="仿宋" w:cs="仿宋"/>
          <w:snapToGrid w:val="0"/>
          <w:color w:val="000000"/>
          <w:spacing w:val="-5"/>
          <w:kern w:val="0"/>
          <w:sz w:val="36"/>
          <w:szCs w:val="36"/>
          <w:lang w:val="en-US" w:eastAsia="zh-CN" w:bidi="ar-SA"/>
        </w:rPr>
        <w:t>市级政府投资项目</w:t>
      </w:r>
      <w:r>
        <w:rPr>
          <w:rFonts w:ascii="Times New Roman" w:hAnsi="Times New Roman" w:eastAsia="仿宋" w:cs="仿宋"/>
          <w:snapToGrid w:val="0"/>
          <w:color w:val="000000"/>
          <w:spacing w:val="-5"/>
          <w:kern w:val="0"/>
          <w:sz w:val="36"/>
          <w:szCs w:val="36"/>
          <w:lang w:val="en-US" w:eastAsia="en-US" w:bidi="ar-SA"/>
        </w:rPr>
        <w:t>预算绩效管理质量和</w:t>
      </w:r>
      <w:r>
        <w:rPr>
          <w:rFonts w:hint="eastAsia" w:ascii="Times New Roman" w:hAnsi="Times New Roman" w:eastAsia="仿宋" w:cs="仿宋"/>
          <w:snapToGrid w:val="0"/>
          <w:color w:val="000000"/>
          <w:spacing w:val="-5"/>
          <w:kern w:val="0"/>
          <w:sz w:val="36"/>
          <w:szCs w:val="36"/>
          <w:lang w:val="en-US" w:eastAsia="zh-CN" w:bidi="ar-SA"/>
        </w:rPr>
        <w:t>水平</w:t>
      </w:r>
      <w:r>
        <w:rPr>
          <w:rFonts w:ascii="Times New Roman" w:hAnsi="Times New Roman" w:eastAsia="仿宋" w:cs="仿宋"/>
          <w:snapToGrid w:val="0"/>
          <w:color w:val="000000"/>
          <w:spacing w:val="-5"/>
          <w:kern w:val="0"/>
          <w:sz w:val="36"/>
          <w:szCs w:val="36"/>
          <w:lang w:val="en-US" w:eastAsia="en-US" w:bidi="ar-SA"/>
        </w:rPr>
        <w:t>，进一步强化预算绩效管理责任，切实提高财政资源配置效率和财政资金使用效益，根据《中华人民共和国预算法》《中共中央</w:t>
      </w:r>
      <w:r>
        <w:rPr>
          <w:rFonts w:hint="eastAsia" w:ascii="Times New Roman" w:hAnsi="Times New Roman" w:cs="仿宋"/>
          <w:snapToGrid w:val="0"/>
          <w:color w:val="000000"/>
          <w:spacing w:val="-5"/>
          <w:kern w:val="0"/>
          <w:sz w:val="36"/>
          <w:szCs w:val="36"/>
          <w:lang w:val="en-US" w:eastAsia="zh-CN" w:bidi="ar-SA"/>
        </w:rPr>
        <w:t xml:space="preserve"> </w:t>
      </w:r>
      <w:r>
        <w:rPr>
          <w:rFonts w:ascii="Times New Roman" w:hAnsi="Times New Roman" w:eastAsia="仿宋" w:cs="仿宋"/>
          <w:snapToGrid w:val="0"/>
          <w:color w:val="000000"/>
          <w:spacing w:val="-5"/>
          <w:kern w:val="0"/>
          <w:sz w:val="36"/>
          <w:szCs w:val="36"/>
          <w:lang w:val="en-US" w:eastAsia="en-US" w:bidi="ar-SA"/>
        </w:rPr>
        <w:t>国务院关于全面实施预算绩效管理的意见》</w:t>
      </w:r>
      <w:r>
        <w:rPr>
          <w:rFonts w:hint="eastAsia" w:ascii="Times New Roman" w:hAnsi="Times New Roman" w:cs="仿宋"/>
          <w:snapToGrid w:val="0"/>
          <w:color w:val="000000"/>
          <w:spacing w:val="-5"/>
          <w:kern w:val="0"/>
          <w:sz w:val="36"/>
          <w:szCs w:val="36"/>
          <w:lang w:val="en-US" w:eastAsia="zh-CN" w:bidi="ar-SA"/>
        </w:rPr>
        <w:t>（中发〔2018〕34号）和</w:t>
      </w:r>
      <w:r>
        <w:rPr>
          <w:rFonts w:ascii="Times New Roman" w:hAnsi="Times New Roman" w:eastAsia="仿宋" w:cs="仿宋"/>
          <w:snapToGrid w:val="0"/>
          <w:color w:val="000000"/>
          <w:spacing w:val="-5"/>
          <w:kern w:val="0"/>
          <w:sz w:val="36"/>
          <w:szCs w:val="36"/>
          <w:lang w:val="en-US" w:eastAsia="en-US" w:bidi="ar-SA"/>
        </w:rPr>
        <w:t>《湖北省省级预算绩效管理办法》</w:t>
      </w:r>
      <w:r>
        <w:rPr>
          <w:rFonts w:hint="eastAsia" w:ascii="Times New Roman" w:hAnsi="Times New Roman" w:cs="仿宋"/>
          <w:snapToGrid w:val="0"/>
          <w:color w:val="000000"/>
          <w:spacing w:val="-5"/>
          <w:kern w:val="0"/>
          <w:sz w:val="36"/>
          <w:szCs w:val="36"/>
          <w:lang w:val="en-US" w:eastAsia="zh-CN" w:bidi="ar-SA"/>
        </w:rPr>
        <w:t>（鄂财绩发〔2026〕3号）</w:t>
      </w:r>
      <w:r>
        <w:rPr>
          <w:rFonts w:ascii="Times New Roman" w:hAnsi="Times New Roman" w:eastAsia="仿宋" w:cs="仿宋"/>
          <w:snapToGrid w:val="0"/>
          <w:color w:val="000000"/>
          <w:spacing w:val="-5"/>
          <w:kern w:val="0"/>
          <w:sz w:val="36"/>
          <w:szCs w:val="36"/>
          <w:lang w:val="en-US" w:eastAsia="en-US" w:bidi="ar-SA"/>
        </w:rPr>
        <w:t>等有关规定，结合我</w:t>
      </w:r>
      <w:r>
        <w:rPr>
          <w:rFonts w:hint="eastAsia" w:ascii="Times New Roman" w:hAnsi="Times New Roman" w:eastAsia="仿宋" w:cs="仿宋"/>
          <w:snapToGrid w:val="0"/>
          <w:color w:val="000000"/>
          <w:spacing w:val="-5"/>
          <w:kern w:val="0"/>
          <w:sz w:val="36"/>
          <w:szCs w:val="36"/>
          <w:lang w:val="en-US" w:eastAsia="zh-CN" w:bidi="ar-SA"/>
        </w:rPr>
        <w:t>市实际，</w:t>
      </w:r>
      <w:r>
        <w:rPr>
          <w:rFonts w:ascii="Times New Roman" w:hAnsi="Times New Roman" w:eastAsia="仿宋" w:cs="仿宋"/>
          <w:snapToGrid w:val="0"/>
          <w:color w:val="000000"/>
          <w:spacing w:val="-5"/>
          <w:kern w:val="0"/>
          <w:sz w:val="36"/>
          <w:szCs w:val="36"/>
          <w:lang w:val="en-US" w:eastAsia="en-US" w:bidi="ar-SA"/>
        </w:rPr>
        <w:t>制定本办法。</w:t>
      </w:r>
    </w:p>
    <w:p w14:paraId="3ECD05A7">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eastAsia="仿宋" w:cs="仿宋"/>
          <w:snapToGrid w:val="0"/>
          <w:color w:val="000000"/>
          <w:spacing w:val="-5"/>
          <w:kern w:val="0"/>
          <w:sz w:val="36"/>
          <w:szCs w:val="36"/>
          <w:lang w:val="en-US" w:eastAsia="zh-CN" w:bidi="ar-SA"/>
        </w:rPr>
      </w:pPr>
      <w:r>
        <w:rPr>
          <w:rFonts w:hint="eastAsia" w:ascii="Times New Roman" w:hAnsi="Times New Roman" w:eastAsia="黑体" w:cs="黑体"/>
          <w:snapToGrid/>
          <w:color w:val="auto"/>
          <w:kern w:val="2"/>
          <w:sz w:val="36"/>
          <w:szCs w:val="36"/>
          <w:lang w:val="en-US" w:eastAsia="zh-CN" w:bidi="ar-SA"/>
        </w:rPr>
        <w:t>第二条</w:t>
      </w:r>
      <w:r>
        <w:rPr>
          <w:rFonts w:hint="eastAsia" w:ascii="Times New Roman" w:hAnsi="Times New Roman"/>
          <w:spacing w:val="-4"/>
          <w:sz w:val="36"/>
          <w:szCs w:val="36"/>
          <w:lang w:eastAsia="zh-CN"/>
        </w:rPr>
        <w:t xml:space="preserve"> </w:t>
      </w:r>
      <w:r>
        <w:rPr>
          <w:rFonts w:hint="eastAsia" w:ascii="Times New Roman" w:hAnsi="Times New Roman"/>
          <w:spacing w:val="-4"/>
          <w:sz w:val="36"/>
          <w:szCs w:val="36"/>
          <w:lang w:val="en-US" w:eastAsia="zh-CN"/>
        </w:rPr>
        <w:t xml:space="preserve"> </w:t>
      </w:r>
      <w:r>
        <w:rPr>
          <w:rFonts w:hint="eastAsia" w:ascii="Times New Roman" w:hAnsi="Times New Roman" w:eastAsia="仿宋" w:cs="仿宋"/>
          <w:snapToGrid w:val="0"/>
          <w:color w:val="000000"/>
          <w:spacing w:val="-5"/>
          <w:kern w:val="0"/>
          <w:sz w:val="36"/>
          <w:szCs w:val="36"/>
          <w:lang w:val="en-US" w:eastAsia="zh-CN" w:bidi="ar-SA"/>
        </w:rPr>
        <w:t>本办法适用于咸宁市本级党政机关、事业单位、人民团体、市属国有企业及其他相关单位，使用财政性资金实施的新建、扩建、改建、技术改造等固定资产投资建设项目。</w:t>
      </w:r>
    </w:p>
    <w:p w14:paraId="5788BA9F">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eastAsia="zh-CN"/>
        </w:rPr>
      </w:pPr>
      <w:r>
        <w:rPr>
          <w:rFonts w:hint="eastAsia" w:ascii="Times New Roman" w:hAnsi="Times New Roman" w:eastAsia="黑体" w:cs="黑体"/>
          <w:snapToGrid/>
          <w:color w:val="auto"/>
          <w:kern w:val="2"/>
          <w:sz w:val="36"/>
          <w:szCs w:val="36"/>
          <w:lang w:val="en-US" w:eastAsia="zh-CN" w:bidi="ar-SA"/>
        </w:rPr>
        <w:t>第三条</w:t>
      </w:r>
      <w:r>
        <w:rPr>
          <w:rFonts w:hint="eastAsia" w:ascii="Times New Roman" w:hAnsi="Times New Roman"/>
          <w:spacing w:val="-4"/>
          <w:sz w:val="36"/>
          <w:szCs w:val="36"/>
          <w:lang w:eastAsia="zh-CN"/>
        </w:rPr>
        <w:t xml:space="preserve"> </w:t>
      </w:r>
      <w:r>
        <w:rPr>
          <w:rFonts w:hint="eastAsia" w:ascii="Times New Roman" w:hAnsi="Times New Roman"/>
          <w:spacing w:val="-4"/>
          <w:sz w:val="36"/>
          <w:szCs w:val="36"/>
          <w:lang w:val="en-US" w:eastAsia="zh-CN"/>
        </w:rPr>
        <w:t xml:space="preserve"> </w:t>
      </w:r>
      <w:r>
        <w:rPr>
          <w:rFonts w:hint="eastAsia" w:ascii="Times New Roman" w:hAnsi="Times New Roman"/>
          <w:spacing w:val="-4"/>
          <w:sz w:val="36"/>
          <w:szCs w:val="36"/>
          <w:lang w:eastAsia="zh-CN"/>
        </w:rPr>
        <w:t>本办法所称预算绩效管理，是指市财政局、行业主管部门和项目单位对政府投资项目进行事前绩效评估、绩效目标管理、绩效运行监控、绩效评价管理及结果应用等全过程绩效管理工作。</w:t>
      </w:r>
    </w:p>
    <w:p w14:paraId="680261BA">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eastAsia="zh-CN"/>
        </w:rPr>
      </w:pPr>
      <w:r>
        <w:rPr>
          <w:rFonts w:hint="eastAsia" w:ascii="Times New Roman" w:hAnsi="Times New Roman" w:eastAsia="黑体" w:cs="黑体"/>
          <w:snapToGrid/>
          <w:color w:val="auto"/>
          <w:kern w:val="2"/>
          <w:sz w:val="36"/>
          <w:szCs w:val="36"/>
          <w:lang w:val="en-US" w:eastAsia="zh-CN" w:bidi="ar-SA"/>
        </w:rPr>
        <w:t>第四条</w:t>
      </w:r>
      <w:r>
        <w:rPr>
          <w:rFonts w:hint="eastAsia" w:ascii="Times New Roman" w:hAnsi="Times New Roman"/>
          <w:spacing w:val="-4"/>
          <w:sz w:val="36"/>
          <w:szCs w:val="36"/>
          <w:lang w:eastAsia="zh-CN"/>
        </w:rPr>
        <w:t xml:space="preserve">  项目实施过程中应当将成本理念贯穿于项目全生命周期，严格落实“估算控制概算、概算控制预算、预算控制决算”，严格控制投资规模、建设标准和工程造价，坚决遏制超财力建设、低效无效投资，严禁脱离实际的形象工程、政绩工程，实现财政资金配置效率和使用效益最大化。</w:t>
      </w:r>
    </w:p>
    <w:p w14:paraId="5FF425CB">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eastAsia="zh-CN"/>
        </w:rPr>
      </w:pPr>
    </w:p>
    <w:p w14:paraId="3B3733DC">
      <w:pPr>
        <w:keepNext w:val="0"/>
        <w:keepLines w:val="0"/>
        <w:pageBreakBefore w:val="0"/>
        <w:widowControl/>
        <w:wordWrap/>
        <w:overflowPunct/>
        <w:topLinePunct w:val="0"/>
        <w:autoSpaceDE w:val="0"/>
        <w:autoSpaceDN w:val="0"/>
        <w:bidi w:val="0"/>
        <w:adjustRightInd w:val="0"/>
        <w:snapToGrid w:val="0"/>
        <w:spacing w:before="104" w:line="580" w:lineRule="exact"/>
        <w:jc w:val="center"/>
        <w:textAlignment w:val="baseline"/>
        <w:rPr>
          <w:rFonts w:hint="eastAsia" w:ascii="Times New Roman" w:hAnsi="Times New Roman" w:eastAsia="黑体" w:cs="黑体"/>
          <w:spacing w:val="-3"/>
          <w:sz w:val="36"/>
          <w:szCs w:val="36"/>
          <w:lang w:eastAsia="zh-CN"/>
        </w:rPr>
      </w:pPr>
      <w:r>
        <w:rPr>
          <w:rFonts w:ascii="Times New Roman" w:hAnsi="Times New Roman" w:eastAsia="黑体" w:cs="黑体"/>
          <w:spacing w:val="-3"/>
          <w:sz w:val="36"/>
          <w:szCs w:val="36"/>
        </w:rPr>
        <w:t>第</w:t>
      </w:r>
      <w:r>
        <w:rPr>
          <w:rFonts w:hint="eastAsia" w:ascii="Times New Roman" w:hAnsi="Times New Roman" w:eastAsia="黑体" w:cs="黑体"/>
          <w:spacing w:val="-3"/>
          <w:sz w:val="36"/>
          <w:szCs w:val="36"/>
          <w:lang w:eastAsia="zh-CN"/>
        </w:rPr>
        <w:t>二</w:t>
      </w:r>
      <w:r>
        <w:rPr>
          <w:rFonts w:ascii="Times New Roman" w:hAnsi="Times New Roman" w:eastAsia="黑体" w:cs="黑体"/>
          <w:spacing w:val="-3"/>
          <w:sz w:val="36"/>
          <w:szCs w:val="36"/>
        </w:rPr>
        <w:t xml:space="preserve">章  </w:t>
      </w:r>
      <w:r>
        <w:rPr>
          <w:rFonts w:hint="eastAsia" w:ascii="Times New Roman" w:hAnsi="Times New Roman" w:eastAsia="黑体" w:cs="黑体"/>
          <w:spacing w:val="-3"/>
          <w:sz w:val="36"/>
          <w:szCs w:val="36"/>
          <w:lang w:eastAsia="zh-CN"/>
        </w:rPr>
        <w:t>职责分工</w:t>
      </w:r>
    </w:p>
    <w:p w14:paraId="5A06F26D">
      <w:pPr>
        <w:pStyle w:val="2"/>
        <w:rPr>
          <w:rFonts w:ascii="Times New Roman" w:hAnsi="Times New Roman"/>
        </w:rPr>
      </w:pPr>
    </w:p>
    <w:p w14:paraId="4580E91F">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eastAsia="zh-CN"/>
        </w:rPr>
      </w:pPr>
      <w:r>
        <w:rPr>
          <w:rFonts w:hint="eastAsia" w:ascii="Times New Roman" w:hAnsi="Times New Roman" w:eastAsia="黑体" w:cs="黑体"/>
          <w:snapToGrid/>
          <w:color w:val="auto"/>
          <w:kern w:val="2"/>
          <w:sz w:val="36"/>
          <w:szCs w:val="36"/>
          <w:lang w:val="en-US" w:eastAsia="zh-CN" w:bidi="ar-SA"/>
        </w:rPr>
        <w:t>第五条</w:t>
      </w:r>
      <w:r>
        <w:rPr>
          <w:rFonts w:hint="eastAsia" w:ascii="Times New Roman" w:hAnsi="Times New Roman"/>
          <w:spacing w:val="-4"/>
          <w:sz w:val="36"/>
          <w:szCs w:val="36"/>
          <w:lang w:eastAsia="zh-CN"/>
        </w:rPr>
        <w:t xml:space="preserve"> </w:t>
      </w:r>
      <w:r>
        <w:rPr>
          <w:rFonts w:hint="eastAsia" w:ascii="Times New Roman" w:hAnsi="Times New Roman"/>
          <w:spacing w:val="-4"/>
          <w:sz w:val="36"/>
          <w:szCs w:val="36"/>
          <w:highlight w:val="none"/>
          <w:lang w:eastAsia="zh-CN"/>
        </w:rPr>
        <w:t> </w:t>
      </w:r>
      <w:r>
        <w:rPr>
          <w:rFonts w:hint="eastAsia" w:ascii="Times New Roman" w:hAnsi="Times New Roman"/>
          <w:spacing w:val="-4"/>
          <w:sz w:val="36"/>
          <w:szCs w:val="36"/>
          <w:highlight w:val="none"/>
          <w:lang w:val="en-US" w:eastAsia="zh-CN"/>
        </w:rPr>
        <w:t>市财政局</w:t>
      </w:r>
      <w:r>
        <w:rPr>
          <w:rFonts w:hint="eastAsia" w:ascii="Times New Roman" w:hAnsi="Times New Roman"/>
          <w:spacing w:val="-4"/>
          <w:sz w:val="36"/>
          <w:szCs w:val="36"/>
          <w:lang w:eastAsia="zh-CN"/>
        </w:rPr>
        <w:t>和市直部门（单位）按职责分工负责政府投资项目全过程预算绩效管理工作。</w:t>
      </w:r>
    </w:p>
    <w:p w14:paraId="312C67CD">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eastAsia="黑体" w:cs="黑体"/>
          <w:snapToGrid/>
          <w:color w:val="auto"/>
          <w:kern w:val="2"/>
          <w:sz w:val="36"/>
          <w:szCs w:val="36"/>
          <w:lang w:val="en-US" w:eastAsia="zh-CN" w:bidi="ar-SA"/>
        </w:rPr>
        <w:t>第六条</w:t>
      </w:r>
      <w:r>
        <w:rPr>
          <w:rFonts w:hint="eastAsia" w:ascii="Times New Roman" w:hAnsi="Times New Roman"/>
          <w:spacing w:val="-4"/>
          <w:sz w:val="36"/>
          <w:szCs w:val="36"/>
          <w:lang w:eastAsia="zh-CN"/>
        </w:rPr>
        <w:t xml:space="preserve">  </w:t>
      </w:r>
      <w:r>
        <w:rPr>
          <w:rFonts w:hint="eastAsia" w:ascii="Times New Roman" w:hAnsi="Times New Roman"/>
          <w:spacing w:val="-4"/>
          <w:sz w:val="36"/>
          <w:szCs w:val="36"/>
          <w:highlight w:val="none"/>
          <w:lang w:val="en-US" w:eastAsia="zh-CN"/>
        </w:rPr>
        <w:t>市财政局</w:t>
      </w:r>
      <w:r>
        <w:rPr>
          <w:rFonts w:hint="eastAsia" w:ascii="Times New Roman" w:hAnsi="Times New Roman"/>
          <w:spacing w:val="-4"/>
          <w:sz w:val="36"/>
          <w:szCs w:val="36"/>
          <w:lang w:val="en-US" w:eastAsia="zh-CN"/>
        </w:rPr>
        <w:t>职责：</w:t>
      </w:r>
    </w:p>
    <w:p w14:paraId="29A2BA41">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spacing w:val="-4"/>
          <w:sz w:val="36"/>
          <w:szCs w:val="36"/>
          <w:lang w:val="en-US" w:eastAsia="zh-CN"/>
        </w:rPr>
        <w:t>（一）研究制定市级政府投资项目预算绩效管理规章制度，建立健全政府投资项目标准化绩效管理体系。</w:t>
      </w:r>
    </w:p>
    <w:p w14:paraId="6EDD23F8">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spacing w:val="-4"/>
          <w:sz w:val="36"/>
          <w:szCs w:val="36"/>
          <w:lang w:val="en-US" w:eastAsia="zh-CN"/>
        </w:rPr>
        <w:t>（二）组织开展政府投资项目事前绩效评估、绩效目标、绩效监控、绩效评价等绩效管理工作。</w:t>
      </w:r>
    </w:p>
    <w:p w14:paraId="43404188">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spacing w:val="-4"/>
          <w:sz w:val="36"/>
          <w:szCs w:val="36"/>
          <w:lang w:val="en-US" w:eastAsia="zh-CN"/>
        </w:rPr>
        <w:t>（三）完善绩效结果反馈制度和督促整改机制，建立绩效结果与项目预算安排、调整挂钩机制。</w:t>
      </w:r>
    </w:p>
    <w:p w14:paraId="1736218B">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spacing w:val="-4"/>
          <w:sz w:val="36"/>
          <w:szCs w:val="36"/>
          <w:lang w:val="en-US" w:eastAsia="zh-CN"/>
        </w:rPr>
        <w:t>（四）引导和规范第三方机构参与政府投资项目预算绩效管理。</w:t>
      </w:r>
    </w:p>
    <w:p w14:paraId="0C0C32A0">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spacing w:val="-4"/>
          <w:sz w:val="36"/>
          <w:szCs w:val="36"/>
          <w:lang w:val="en-US" w:eastAsia="zh-CN"/>
        </w:rPr>
        <w:t>（五）应当履行的其他绩效管理职责。</w:t>
      </w:r>
    </w:p>
    <w:p w14:paraId="2B9CBDA2">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eastAsia="黑体" w:cs="黑体"/>
          <w:snapToGrid/>
          <w:color w:val="auto"/>
          <w:kern w:val="2"/>
          <w:sz w:val="36"/>
          <w:szCs w:val="36"/>
          <w:lang w:val="en-US" w:eastAsia="zh-CN" w:bidi="ar-SA"/>
        </w:rPr>
        <w:t>第七条</w:t>
      </w:r>
      <w:r>
        <w:rPr>
          <w:rFonts w:hint="eastAsia" w:ascii="Times New Roman" w:hAnsi="Times New Roman"/>
          <w:spacing w:val="-4"/>
          <w:sz w:val="36"/>
          <w:szCs w:val="36"/>
          <w:lang w:eastAsia="zh-CN"/>
        </w:rPr>
        <w:t xml:space="preserve"> </w:t>
      </w:r>
      <w:r>
        <w:rPr>
          <w:rFonts w:hint="eastAsia" w:ascii="Times New Roman" w:hAnsi="Times New Roman"/>
          <w:spacing w:val="-4"/>
          <w:sz w:val="36"/>
          <w:szCs w:val="36"/>
          <w:lang w:val="en-US" w:eastAsia="zh-CN"/>
        </w:rPr>
        <w:t>市直部门（单位）职责：</w:t>
      </w:r>
    </w:p>
    <w:p w14:paraId="6F0213E7">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spacing w:val="-4"/>
          <w:sz w:val="36"/>
          <w:szCs w:val="36"/>
          <w:lang w:val="en-US" w:eastAsia="zh-CN"/>
        </w:rPr>
        <w:t>（一）负责研究制定本部门（单位）政府投资项目预算绩效管理实施细则，建立本部门、本行业的项目绩效指标和标准体系。</w:t>
      </w:r>
    </w:p>
    <w:p w14:paraId="2AF4D38A">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spacing w:val="-4"/>
          <w:sz w:val="36"/>
          <w:szCs w:val="36"/>
          <w:lang w:val="en-US" w:eastAsia="zh-CN"/>
        </w:rPr>
        <w:t>（二）按要求组织实施本部门（单位）政府投资项目全过程绩效管理工作。</w:t>
      </w:r>
    </w:p>
    <w:p w14:paraId="611986F7">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spacing w:val="-4"/>
          <w:sz w:val="36"/>
          <w:szCs w:val="36"/>
          <w:lang w:val="en-US" w:eastAsia="zh-CN"/>
        </w:rPr>
        <w:t>（三）配合市财政局开展政府投资项目绩效管理工作，建立绩效结果与改进项目管理挂钩机制。</w:t>
      </w:r>
    </w:p>
    <w:p w14:paraId="3CD4EF94">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spacing w:val="-4"/>
          <w:sz w:val="36"/>
          <w:szCs w:val="36"/>
          <w:lang w:val="en-US" w:eastAsia="zh-CN"/>
        </w:rPr>
        <w:t>（四）应当履行的其他绩效管理职责。</w:t>
      </w:r>
    </w:p>
    <w:p w14:paraId="3175D09D">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p>
    <w:p w14:paraId="247A1A44">
      <w:pPr>
        <w:keepNext w:val="0"/>
        <w:keepLines w:val="0"/>
        <w:pageBreakBefore w:val="0"/>
        <w:widowControl/>
        <w:wordWrap/>
        <w:overflowPunct/>
        <w:topLinePunct w:val="0"/>
        <w:autoSpaceDE w:val="0"/>
        <w:autoSpaceDN w:val="0"/>
        <w:bidi w:val="0"/>
        <w:adjustRightInd w:val="0"/>
        <w:snapToGrid w:val="0"/>
        <w:spacing w:before="104" w:line="580" w:lineRule="exact"/>
        <w:jc w:val="center"/>
        <w:textAlignment w:val="baseline"/>
        <w:rPr>
          <w:rFonts w:ascii="Times New Roman" w:hAnsi="Times New Roman" w:eastAsia="黑体" w:cs="黑体"/>
          <w:spacing w:val="-3"/>
          <w:sz w:val="36"/>
          <w:szCs w:val="36"/>
        </w:rPr>
      </w:pPr>
      <w:r>
        <w:rPr>
          <w:rFonts w:ascii="Times New Roman" w:hAnsi="Times New Roman" w:eastAsia="黑体" w:cs="黑体"/>
          <w:spacing w:val="-3"/>
          <w:sz w:val="36"/>
          <w:szCs w:val="36"/>
        </w:rPr>
        <w:t>第</w:t>
      </w:r>
      <w:r>
        <w:rPr>
          <w:rFonts w:hint="eastAsia" w:ascii="Times New Roman" w:hAnsi="Times New Roman" w:eastAsia="黑体" w:cs="黑体"/>
          <w:spacing w:val="-3"/>
          <w:sz w:val="36"/>
          <w:szCs w:val="36"/>
          <w:lang w:eastAsia="zh-CN"/>
        </w:rPr>
        <w:t>三</w:t>
      </w:r>
      <w:r>
        <w:rPr>
          <w:rFonts w:ascii="Times New Roman" w:hAnsi="Times New Roman" w:eastAsia="黑体" w:cs="黑体"/>
          <w:spacing w:val="-3"/>
          <w:sz w:val="36"/>
          <w:szCs w:val="36"/>
        </w:rPr>
        <w:t>章  事前绩效评估</w:t>
      </w:r>
    </w:p>
    <w:p w14:paraId="72637F1D">
      <w:pPr>
        <w:pStyle w:val="2"/>
        <w:rPr>
          <w:rFonts w:ascii="Times New Roman" w:hAnsi="Times New Roman"/>
        </w:rPr>
      </w:pPr>
    </w:p>
    <w:p w14:paraId="69A7DF1C">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eastAsia="黑体" w:cs="黑体"/>
          <w:snapToGrid/>
          <w:color w:val="auto"/>
          <w:kern w:val="2"/>
          <w:sz w:val="36"/>
          <w:szCs w:val="36"/>
          <w:lang w:val="en-US" w:eastAsia="zh-CN" w:bidi="ar-SA"/>
        </w:rPr>
        <w:t>第八条</w:t>
      </w:r>
      <w:r>
        <w:rPr>
          <w:rFonts w:hint="eastAsia" w:ascii="Times New Roman" w:hAnsi="Times New Roman"/>
          <w:spacing w:val="-4"/>
          <w:sz w:val="36"/>
          <w:szCs w:val="36"/>
          <w:lang w:val="en-US" w:eastAsia="zh-CN"/>
        </w:rPr>
        <w:t xml:space="preserve">  事前绩效评估是指市财政局和市直部门（单位）运用科学、合理的方法和程序，对拟申请实施的政府投资项目进行客观公正的评定、估算，形成事前绩效评估结果的过程。</w:t>
      </w:r>
    </w:p>
    <w:p w14:paraId="7F545A28">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eastAsia="黑体" w:cs="黑体"/>
          <w:snapToGrid/>
          <w:color w:val="auto"/>
          <w:kern w:val="2"/>
          <w:sz w:val="36"/>
          <w:szCs w:val="36"/>
          <w:lang w:val="en-US" w:eastAsia="zh-CN" w:bidi="ar-SA"/>
        </w:rPr>
        <w:t>第九条</w:t>
      </w:r>
      <w:r>
        <w:rPr>
          <w:rFonts w:hint="eastAsia" w:ascii="Times New Roman" w:hAnsi="Times New Roman" w:eastAsia="黑体" w:cs="黑体"/>
          <w:snapToGrid w:val="0"/>
          <w:color w:val="000000"/>
          <w:spacing w:val="-5"/>
          <w:kern w:val="0"/>
          <w:sz w:val="36"/>
          <w:szCs w:val="36"/>
          <w:lang w:val="en-US" w:eastAsia="zh-CN" w:bidi="ar-SA"/>
        </w:rPr>
        <w:t xml:space="preserve">  </w:t>
      </w:r>
      <w:r>
        <w:rPr>
          <w:rFonts w:hint="eastAsia" w:ascii="Times New Roman" w:hAnsi="Times New Roman"/>
          <w:spacing w:val="-4"/>
          <w:sz w:val="36"/>
          <w:szCs w:val="36"/>
          <w:lang w:val="en-US" w:eastAsia="zh-CN"/>
        </w:rPr>
        <w:t>事前绩效评估应当与项目立项审批、可行性研究同步开展，未完成评估的项目，不得进入后续审批流程。</w:t>
      </w:r>
    </w:p>
    <w:p w14:paraId="0778C819">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eastAsia="黑体" w:cs="黑体"/>
          <w:snapToGrid/>
          <w:color w:val="auto"/>
          <w:kern w:val="2"/>
          <w:sz w:val="36"/>
          <w:szCs w:val="36"/>
          <w:lang w:val="en-US" w:eastAsia="zh-CN" w:bidi="ar-SA"/>
        </w:rPr>
        <w:t>第十条</w:t>
      </w:r>
      <w:r>
        <w:rPr>
          <w:rFonts w:hint="eastAsia" w:ascii="Times New Roman" w:hAnsi="Times New Roman" w:eastAsia="黑体" w:cs="黑体"/>
          <w:snapToGrid w:val="0"/>
          <w:color w:val="000000"/>
          <w:spacing w:val="-5"/>
          <w:kern w:val="0"/>
          <w:sz w:val="36"/>
          <w:szCs w:val="36"/>
          <w:lang w:val="en-US" w:eastAsia="zh-CN" w:bidi="ar-SA"/>
        </w:rPr>
        <w:t xml:space="preserve">  </w:t>
      </w:r>
      <w:r>
        <w:rPr>
          <w:rFonts w:hint="eastAsia" w:ascii="Times New Roman" w:hAnsi="Times New Roman"/>
          <w:spacing w:val="-4"/>
          <w:sz w:val="36"/>
          <w:szCs w:val="36"/>
          <w:lang w:val="en-US" w:eastAsia="zh-CN"/>
        </w:rPr>
        <w:t>项目单位应对当年申报的新增项目开展事前绩效自评估，负责组织编制评估报告，重点论证立项必要性、实施方案可行性、投入经济性、绩效目标合理性和筹资合规性等。行业主管部门负责组织相关专家对评估报告进行审核，对评估结论提出明确意见，并报送市财政局备案。</w:t>
      </w:r>
    </w:p>
    <w:p w14:paraId="6EEB6B83">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eastAsia="黑体" w:cs="黑体"/>
          <w:snapToGrid/>
          <w:color w:val="auto"/>
          <w:kern w:val="2"/>
          <w:sz w:val="36"/>
          <w:szCs w:val="36"/>
          <w:lang w:val="en-US" w:eastAsia="zh-CN" w:bidi="ar-SA"/>
        </w:rPr>
        <w:t>第十一条</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spacing w:val="-4"/>
          <w:sz w:val="36"/>
          <w:szCs w:val="36"/>
          <w:lang w:val="en-US" w:eastAsia="zh-CN"/>
        </w:rPr>
        <w:t>市财政局按照项目类型选取重大项目、民生项目、专项债券项目等开展财政重点绩效评估，评估结果作为申请预算的必备条件。</w:t>
      </w:r>
    </w:p>
    <w:p w14:paraId="0A1C5BA9">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color w:val="FF0000"/>
          <w:spacing w:val="-4"/>
          <w:sz w:val="36"/>
          <w:szCs w:val="36"/>
          <w:lang w:val="en-US" w:eastAsia="zh-CN"/>
        </w:rPr>
      </w:pPr>
      <w:r>
        <w:rPr>
          <w:rFonts w:hint="eastAsia" w:ascii="Times New Roman" w:hAnsi="Times New Roman" w:eastAsia="黑体" w:cs="黑体"/>
          <w:snapToGrid/>
          <w:color w:val="auto"/>
          <w:kern w:val="2"/>
          <w:sz w:val="36"/>
          <w:szCs w:val="36"/>
          <w:lang w:val="en-US" w:eastAsia="zh-CN" w:bidi="ar-SA"/>
        </w:rPr>
        <w:t>第十二条</w:t>
      </w:r>
      <w:r>
        <w:rPr>
          <w:rFonts w:hint="eastAsia" w:ascii="Times New Roman" w:hAnsi="Times New Roman"/>
          <w:b/>
          <w:bCs/>
          <w:spacing w:val="-4"/>
          <w:sz w:val="36"/>
          <w:szCs w:val="36"/>
          <w:highlight w:val="none"/>
          <w:lang w:val="en-US" w:eastAsia="zh-CN"/>
        </w:rPr>
        <w:t xml:space="preserve">  </w:t>
      </w:r>
      <w:r>
        <w:rPr>
          <w:rFonts w:hint="eastAsia" w:ascii="Times New Roman" w:hAnsi="Times New Roman"/>
          <w:spacing w:val="-4"/>
          <w:sz w:val="36"/>
          <w:szCs w:val="36"/>
          <w:lang w:val="en-US" w:eastAsia="zh-CN"/>
        </w:rPr>
        <w:t>拟申报专项债券的项目，事前绩效评估应包含项目收支预算总体平衡方案，绩效目标要尽可能细化量化，能有效反映项目的预期产出、融资成本、偿债风险、建设运营计划等，事前绩效评估作为衡量项目成熟度、申报专项债券资金的前置条件。</w:t>
      </w:r>
    </w:p>
    <w:p w14:paraId="40428FC3">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eastAsia="黑体" w:cs="黑体"/>
          <w:snapToGrid/>
          <w:color w:val="auto"/>
          <w:kern w:val="2"/>
          <w:sz w:val="36"/>
          <w:szCs w:val="36"/>
          <w:lang w:val="en-US" w:eastAsia="zh-CN" w:bidi="ar-SA"/>
        </w:rPr>
        <w:t>第十三条</w:t>
      </w:r>
      <w:r>
        <w:rPr>
          <w:rFonts w:hint="eastAsia" w:ascii="Times New Roman" w:hAnsi="Times New Roman"/>
          <w:spacing w:val="-4"/>
          <w:sz w:val="36"/>
          <w:szCs w:val="36"/>
          <w:lang w:val="en-US" w:eastAsia="zh-CN"/>
        </w:rPr>
        <w:t xml:space="preserve">  未通过事前绩效评估的项目不得纳入储备库。事前绩效评估结果须在咸宁市预算管理一体化系统和政府投资项目管理平台同步录入，并作为项目预算安排、资金拨付的重要依据。</w:t>
      </w:r>
    </w:p>
    <w:p w14:paraId="2B9FED82">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p>
    <w:p w14:paraId="56F2C0E2">
      <w:pPr>
        <w:keepNext w:val="0"/>
        <w:keepLines w:val="0"/>
        <w:pageBreakBefore w:val="0"/>
        <w:widowControl/>
        <w:wordWrap/>
        <w:overflowPunct/>
        <w:topLinePunct w:val="0"/>
        <w:autoSpaceDE w:val="0"/>
        <w:autoSpaceDN w:val="0"/>
        <w:bidi w:val="0"/>
        <w:adjustRightInd w:val="0"/>
        <w:snapToGrid w:val="0"/>
        <w:spacing w:before="104" w:line="580" w:lineRule="exact"/>
        <w:jc w:val="center"/>
        <w:textAlignment w:val="baseline"/>
        <w:rPr>
          <w:rFonts w:ascii="Times New Roman" w:hAnsi="Times New Roman" w:eastAsia="黑体" w:cs="黑体"/>
          <w:spacing w:val="-3"/>
          <w:sz w:val="36"/>
          <w:szCs w:val="36"/>
        </w:rPr>
      </w:pPr>
      <w:r>
        <w:rPr>
          <w:rFonts w:ascii="Times New Roman" w:hAnsi="Times New Roman" w:eastAsia="黑体" w:cs="黑体"/>
          <w:spacing w:val="-3"/>
          <w:sz w:val="36"/>
          <w:szCs w:val="36"/>
        </w:rPr>
        <w:t>第</w:t>
      </w:r>
      <w:r>
        <w:rPr>
          <w:rFonts w:hint="eastAsia" w:ascii="Times New Roman" w:hAnsi="Times New Roman" w:eastAsia="黑体" w:cs="黑体"/>
          <w:spacing w:val="-3"/>
          <w:sz w:val="36"/>
          <w:szCs w:val="36"/>
          <w:lang w:eastAsia="zh-CN"/>
        </w:rPr>
        <w:t>四</w:t>
      </w:r>
      <w:r>
        <w:rPr>
          <w:rFonts w:ascii="Times New Roman" w:hAnsi="Times New Roman" w:eastAsia="黑体" w:cs="黑体"/>
          <w:spacing w:val="-3"/>
          <w:sz w:val="36"/>
          <w:szCs w:val="36"/>
        </w:rPr>
        <w:t>章 绩效目标管理</w:t>
      </w:r>
    </w:p>
    <w:p w14:paraId="5F099AEB">
      <w:pPr>
        <w:pStyle w:val="2"/>
        <w:rPr>
          <w:rFonts w:hint="eastAsia" w:ascii="Times New Roman" w:hAnsi="Times New Roman"/>
          <w:lang w:val="en-US" w:eastAsia="zh-CN"/>
        </w:rPr>
      </w:pPr>
    </w:p>
    <w:p w14:paraId="6B2AA036">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720" w:firstLineChars="200"/>
        <w:textAlignment w:val="baseline"/>
        <w:rPr>
          <w:rFonts w:hint="eastAsia" w:ascii="Times New Roman" w:hAnsi="Times New Roman"/>
          <w:spacing w:val="-4"/>
          <w:sz w:val="36"/>
          <w:szCs w:val="36"/>
          <w:lang w:val="en-US" w:eastAsia="zh-CN"/>
        </w:rPr>
      </w:pPr>
      <w:r>
        <w:rPr>
          <w:rFonts w:hint="eastAsia" w:ascii="Times New Roman" w:hAnsi="Times New Roman" w:eastAsia="黑体" w:cs="黑体"/>
          <w:snapToGrid/>
          <w:color w:val="auto"/>
          <w:kern w:val="2"/>
          <w:sz w:val="36"/>
          <w:szCs w:val="36"/>
          <w:lang w:val="en-US" w:eastAsia="zh-CN" w:bidi="ar-SA"/>
        </w:rPr>
        <w:t>第十四条</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spacing w:val="-4"/>
          <w:sz w:val="36"/>
          <w:szCs w:val="36"/>
          <w:lang w:val="en-US" w:eastAsia="zh-CN"/>
        </w:rPr>
        <w:t>绩效目标是项目入库、预算安排、绩效评价的核心依据，所有项目必须遵循“谁申请资金、谁设置目标”原则，在申报项目时同步编制绩效目标，做到“无目标、不入库、不预算”。</w:t>
      </w:r>
    </w:p>
    <w:p w14:paraId="58C2EB6C">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ascii="Times New Roman" w:hAnsi="Times New Roman"/>
          <w:spacing w:val="-6"/>
          <w:sz w:val="36"/>
          <w:szCs w:val="36"/>
        </w:rPr>
      </w:pPr>
      <w:r>
        <w:rPr>
          <w:rFonts w:hint="eastAsia" w:ascii="Times New Roman" w:hAnsi="Times New Roman" w:eastAsia="黑体" w:cs="黑体"/>
          <w:snapToGrid/>
          <w:color w:val="auto"/>
          <w:kern w:val="2"/>
          <w:sz w:val="36"/>
          <w:szCs w:val="36"/>
          <w:lang w:val="en-US" w:eastAsia="zh-CN" w:bidi="ar-SA"/>
        </w:rPr>
        <w:t>第十五条</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spacing w:val="-4"/>
          <w:sz w:val="36"/>
          <w:szCs w:val="36"/>
          <w:lang w:val="en-US" w:eastAsia="zh-CN"/>
        </w:rPr>
        <w:t>绩效目标应当重点反映政府投资项目的成本、产出数量、质量、时效，以及</w:t>
      </w:r>
      <w:r>
        <w:rPr>
          <w:rFonts w:ascii="Times New Roman" w:hAnsi="Times New Roman"/>
          <w:spacing w:val="-12"/>
          <w:sz w:val="36"/>
          <w:szCs w:val="36"/>
        </w:rPr>
        <w:t>经济效益、社会效益、生态</w:t>
      </w:r>
      <w:r>
        <w:rPr>
          <w:rFonts w:ascii="Times New Roman" w:hAnsi="Times New Roman"/>
          <w:spacing w:val="-13"/>
          <w:sz w:val="36"/>
          <w:szCs w:val="36"/>
        </w:rPr>
        <w:t>效益、</w:t>
      </w:r>
      <w:r>
        <w:rPr>
          <w:rFonts w:ascii="Times New Roman" w:hAnsi="Times New Roman"/>
          <w:spacing w:val="-6"/>
          <w:sz w:val="36"/>
          <w:szCs w:val="36"/>
        </w:rPr>
        <w:t>服务对象满意度等绩效指标。</w:t>
      </w:r>
    </w:p>
    <w:p w14:paraId="1A2534E1">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eastAsia="黑体" w:cs="黑体"/>
          <w:spacing w:val="17"/>
          <w:sz w:val="36"/>
          <w:szCs w:val="36"/>
          <w:lang w:val="en-US" w:eastAsia="zh-CN"/>
        </w:rPr>
      </w:pPr>
      <w:r>
        <w:rPr>
          <w:rFonts w:hint="eastAsia" w:ascii="Times New Roman" w:hAnsi="Times New Roman" w:eastAsia="黑体" w:cs="黑体"/>
          <w:snapToGrid/>
          <w:color w:val="auto"/>
          <w:kern w:val="2"/>
          <w:sz w:val="36"/>
          <w:szCs w:val="36"/>
          <w:lang w:val="en-US" w:eastAsia="zh-CN" w:bidi="ar-SA"/>
        </w:rPr>
        <w:t>第十六条</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spacing w:val="-4"/>
          <w:sz w:val="36"/>
          <w:szCs w:val="36"/>
          <w:lang w:val="en-US" w:eastAsia="zh-CN"/>
        </w:rPr>
        <w:t>绩效目标编制应当根据项目所处阶段各有侧重，建设阶段绩效目标应重点反映项目建设期内的产出和效果，运营阶段绩效目标应重点反映项目投产运营后年度预期达到的产出和效果。</w:t>
      </w:r>
    </w:p>
    <w:p w14:paraId="7158F08E">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eastAsia="黑体" w:cs="黑体"/>
          <w:snapToGrid/>
          <w:color w:val="auto"/>
          <w:kern w:val="2"/>
          <w:sz w:val="36"/>
          <w:szCs w:val="36"/>
          <w:lang w:val="en-US" w:eastAsia="zh-CN" w:bidi="ar-SA"/>
        </w:rPr>
        <w:t>第十七条</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spacing w:val="-4"/>
          <w:sz w:val="36"/>
          <w:szCs w:val="36"/>
          <w:lang w:val="en-US" w:eastAsia="zh-CN"/>
        </w:rPr>
        <w:t>市财政局应当将绩效目标设置作为申报项目和安排资金的前置条件。市财政局在下达项目年度预算时，同步批复项目绩效目标。</w:t>
      </w:r>
    </w:p>
    <w:p w14:paraId="35525DA0">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r>
        <w:rPr>
          <w:rFonts w:hint="eastAsia" w:ascii="Times New Roman" w:hAnsi="Times New Roman" w:eastAsia="黑体" w:cs="黑体"/>
          <w:snapToGrid/>
          <w:color w:val="auto"/>
          <w:kern w:val="2"/>
          <w:sz w:val="36"/>
          <w:szCs w:val="36"/>
          <w:lang w:val="en-US" w:eastAsia="zh-CN" w:bidi="ar-SA"/>
        </w:rPr>
        <w:t>第十八条</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spacing w:val="-4"/>
          <w:sz w:val="36"/>
          <w:szCs w:val="36"/>
          <w:lang w:val="en-US" w:eastAsia="zh-CN"/>
        </w:rPr>
        <w:t>批复的绩效目标一般不予调整。在预算执行中，对于必须进行的预算调整，应当同步调整绩效目标。预算执行中的调整项目，绩效目标应随预算文件下达。</w:t>
      </w:r>
    </w:p>
    <w:p w14:paraId="012B8C56">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4"/>
          <w:sz w:val="36"/>
          <w:szCs w:val="36"/>
          <w:lang w:val="en-US" w:eastAsia="zh-CN"/>
        </w:rPr>
      </w:pPr>
    </w:p>
    <w:p w14:paraId="039314B7">
      <w:pPr>
        <w:keepNext w:val="0"/>
        <w:keepLines w:val="0"/>
        <w:pageBreakBefore w:val="0"/>
        <w:widowControl/>
        <w:wordWrap/>
        <w:overflowPunct/>
        <w:topLinePunct w:val="0"/>
        <w:autoSpaceDE w:val="0"/>
        <w:autoSpaceDN w:val="0"/>
        <w:bidi w:val="0"/>
        <w:adjustRightInd w:val="0"/>
        <w:snapToGrid w:val="0"/>
        <w:spacing w:before="104" w:line="580" w:lineRule="exact"/>
        <w:jc w:val="center"/>
        <w:textAlignment w:val="baseline"/>
        <w:rPr>
          <w:rFonts w:hint="eastAsia" w:ascii="Times New Roman" w:hAnsi="Times New Roman" w:eastAsia="黑体" w:cs="黑体"/>
          <w:spacing w:val="-3"/>
          <w:sz w:val="36"/>
          <w:szCs w:val="36"/>
          <w:lang w:eastAsia="zh-CN"/>
        </w:rPr>
      </w:pPr>
      <w:r>
        <w:rPr>
          <w:rFonts w:hint="eastAsia" w:ascii="Times New Roman" w:hAnsi="Times New Roman" w:eastAsia="黑体" w:cs="黑体"/>
          <w:spacing w:val="-3"/>
          <w:sz w:val="36"/>
          <w:szCs w:val="36"/>
          <w:lang w:eastAsia="zh-CN"/>
        </w:rPr>
        <w:t>第五章 绩效运行监控</w:t>
      </w:r>
    </w:p>
    <w:p w14:paraId="15289695">
      <w:pPr>
        <w:pStyle w:val="2"/>
        <w:rPr>
          <w:rFonts w:hint="eastAsia" w:ascii="Times New Roman" w:hAnsi="Times New Roman"/>
          <w:lang w:val="en-US" w:eastAsia="zh-CN"/>
        </w:rPr>
      </w:pPr>
    </w:p>
    <w:p w14:paraId="715685BB">
      <w:pPr>
        <w:keepNext w:val="0"/>
        <w:keepLines w:val="0"/>
        <w:pageBreakBefore w:val="0"/>
        <w:widowControl/>
        <w:wordWrap/>
        <w:overflowPunct/>
        <w:topLinePunct w:val="0"/>
        <w:autoSpaceDE w:val="0"/>
        <w:autoSpaceDN w:val="0"/>
        <w:bidi w:val="0"/>
        <w:adjustRightInd w:val="0"/>
        <w:snapToGrid w:val="0"/>
        <w:spacing w:before="104" w:line="580" w:lineRule="exact"/>
        <w:ind w:right="266" w:firstLine="720" w:firstLineChars="200"/>
        <w:textAlignment w:val="baseline"/>
        <w:rPr>
          <w:rFonts w:hint="eastAsia" w:ascii="Times New Roman" w:hAnsi="Times New Roman" w:eastAsia="仿宋" w:cs="仿宋"/>
          <w:snapToGrid w:val="0"/>
          <w:color w:val="000000"/>
          <w:spacing w:val="-4"/>
          <w:kern w:val="0"/>
          <w:sz w:val="36"/>
          <w:szCs w:val="36"/>
          <w:lang w:val="en-US" w:eastAsia="zh-CN" w:bidi="ar-SA"/>
        </w:rPr>
      </w:pPr>
      <w:r>
        <w:rPr>
          <w:rFonts w:hint="eastAsia" w:ascii="Times New Roman" w:hAnsi="Times New Roman" w:eastAsia="黑体" w:cs="黑体"/>
          <w:snapToGrid/>
          <w:color w:val="auto"/>
          <w:kern w:val="2"/>
          <w:sz w:val="36"/>
          <w:szCs w:val="36"/>
          <w:lang w:val="en-US" w:eastAsia="zh-CN" w:bidi="ar-SA"/>
        </w:rPr>
        <w:t>第十九条</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eastAsia="仿宋" w:cs="仿宋"/>
          <w:snapToGrid w:val="0"/>
          <w:color w:val="000000"/>
          <w:spacing w:val="-4"/>
          <w:kern w:val="0"/>
          <w:sz w:val="36"/>
          <w:szCs w:val="36"/>
          <w:lang w:val="en-US" w:eastAsia="zh-CN" w:bidi="ar-SA"/>
        </w:rPr>
        <w:t>绩效运行监控是指在项目资金使用过程中，对项目预算资金执行情况和绩效目标实现程度开展的监督、控制和管理活动。</w:t>
      </w:r>
    </w:p>
    <w:p w14:paraId="65D88729">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720" w:firstLineChars="200"/>
        <w:textAlignment w:val="baseline"/>
        <w:rPr>
          <w:rFonts w:hint="default" w:ascii="Times New Roman" w:hAnsi="Times New Roman" w:eastAsia="黑体" w:cs="黑体"/>
          <w:spacing w:val="17"/>
          <w:sz w:val="36"/>
          <w:szCs w:val="36"/>
          <w:lang w:val="en-US" w:eastAsia="zh-CN"/>
        </w:rPr>
      </w:pPr>
      <w:r>
        <w:rPr>
          <w:rFonts w:hint="eastAsia" w:ascii="Times New Roman" w:hAnsi="Times New Roman" w:eastAsia="黑体" w:cs="黑体"/>
          <w:snapToGrid/>
          <w:color w:val="auto"/>
          <w:kern w:val="2"/>
          <w:sz w:val="36"/>
          <w:szCs w:val="36"/>
          <w:lang w:val="en-US" w:eastAsia="zh-CN" w:bidi="ar-SA"/>
        </w:rPr>
        <w:t>第二十条</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eastAsia="仿宋" w:cs="仿宋"/>
          <w:snapToGrid w:val="0"/>
          <w:color w:val="000000"/>
          <w:spacing w:val="-4"/>
          <w:kern w:val="0"/>
          <w:sz w:val="36"/>
          <w:szCs w:val="36"/>
          <w:lang w:val="en-US" w:eastAsia="zh-CN" w:bidi="ar-SA"/>
        </w:rPr>
        <w:t>绩效运行监控采取市直部门（单位）自行监控与</w:t>
      </w:r>
      <w:r>
        <w:rPr>
          <w:rFonts w:hint="eastAsia" w:ascii="Times New Roman" w:hAnsi="Times New Roman" w:cs="仿宋"/>
          <w:snapToGrid w:val="0"/>
          <w:color w:val="000000"/>
          <w:spacing w:val="-4"/>
          <w:kern w:val="0"/>
          <w:sz w:val="36"/>
          <w:szCs w:val="36"/>
          <w:lang w:val="en-US" w:eastAsia="zh-CN" w:bidi="ar-SA"/>
        </w:rPr>
        <w:t>市财政局</w:t>
      </w:r>
      <w:r>
        <w:rPr>
          <w:rFonts w:hint="eastAsia" w:ascii="Times New Roman" w:hAnsi="Times New Roman" w:eastAsia="仿宋" w:cs="仿宋"/>
          <w:snapToGrid w:val="0"/>
          <w:color w:val="000000"/>
          <w:spacing w:val="-4"/>
          <w:kern w:val="0"/>
          <w:sz w:val="36"/>
          <w:szCs w:val="36"/>
          <w:lang w:val="en-US" w:eastAsia="zh-CN" w:bidi="ar-SA"/>
        </w:rPr>
        <w:t>重点监控相结合的方式开展。</w:t>
      </w:r>
    </w:p>
    <w:p w14:paraId="53943DC3">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720" w:firstLineChars="200"/>
        <w:textAlignment w:val="baseline"/>
        <w:rPr>
          <w:rFonts w:hint="eastAsia" w:ascii="Times New Roman" w:hAnsi="Times New Roman" w:cs="仿宋"/>
          <w:snapToGrid w:val="0"/>
          <w:color w:val="000000"/>
          <w:spacing w:val="-4"/>
          <w:kern w:val="0"/>
          <w:sz w:val="36"/>
          <w:szCs w:val="36"/>
          <w:highlight w:val="none"/>
          <w:lang w:val="en-US" w:eastAsia="zh-CN" w:bidi="ar-SA"/>
        </w:rPr>
      </w:pPr>
      <w:r>
        <w:rPr>
          <w:rFonts w:hint="eastAsia" w:ascii="Times New Roman" w:hAnsi="Times New Roman" w:eastAsia="黑体" w:cs="黑体"/>
          <w:snapToGrid/>
          <w:color w:val="auto"/>
          <w:kern w:val="2"/>
          <w:sz w:val="36"/>
          <w:szCs w:val="36"/>
          <w:lang w:val="en-US" w:eastAsia="zh-CN" w:bidi="ar-SA"/>
        </w:rPr>
        <w:t>第二十一条</w:t>
      </w:r>
      <w:r>
        <w:rPr>
          <w:rFonts w:hint="eastAsia" w:ascii="Times New Roman" w:hAnsi="Times New Roman" w:eastAsia="黑体" w:cs="黑体"/>
          <w:snapToGrid w:val="0"/>
          <w:color w:val="000000"/>
          <w:spacing w:val="17"/>
          <w:kern w:val="0"/>
          <w:sz w:val="36"/>
          <w:szCs w:val="36"/>
          <w:lang w:val="en-US" w:eastAsia="zh-CN" w:bidi="ar-SA"/>
        </w:rPr>
        <w:t xml:space="preserve">  </w:t>
      </w:r>
      <w:r>
        <w:rPr>
          <w:rFonts w:hint="eastAsia" w:ascii="Times New Roman" w:hAnsi="Times New Roman" w:eastAsia="仿宋" w:cs="仿宋"/>
          <w:snapToGrid w:val="0"/>
          <w:color w:val="000000"/>
          <w:spacing w:val="-4"/>
          <w:kern w:val="0"/>
          <w:sz w:val="36"/>
          <w:szCs w:val="36"/>
          <w:lang w:val="en-US" w:eastAsia="zh-CN" w:bidi="ar-SA"/>
        </w:rPr>
        <w:t>市直部</w:t>
      </w:r>
      <w:r>
        <w:rPr>
          <w:rFonts w:hint="eastAsia" w:ascii="Times New Roman" w:hAnsi="Times New Roman" w:cs="仿宋"/>
          <w:snapToGrid w:val="0"/>
          <w:color w:val="000000"/>
          <w:spacing w:val="-4"/>
          <w:kern w:val="0"/>
          <w:sz w:val="36"/>
          <w:szCs w:val="36"/>
          <w:highlight w:val="none"/>
          <w:lang w:val="en-US" w:eastAsia="zh-CN" w:bidi="ar-SA"/>
        </w:rPr>
        <w:t>门（单位）</w:t>
      </w:r>
      <w:r>
        <w:rPr>
          <w:rFonts w:hint="eastAsia" w:ascii="Times New Roman" w:hAnsi="Times New Roman" w:eastAsia="仿宋" w:cs="仿宋"/>
          <w:snapToGrid w:val="0"/>
          <w:color w:val="000000"/>
          <w:spacing w:val="-4"/>
          <w:kern w:val="0"/>
          <w:sz w:val="36"/>
          <w:szCs w:val="36"/>
          <w:highlight w:val="none"/>
          <w:lang w:val="en-US" w:eastAsia="zh-CN" w:bidi="ar-SA"/>
        </w:rPr>
        <w:t>在项目开工后，对项目进度是否按计划实施、年度预算执行进度有无滞后、项目绩效目标是否发生偏离等开展</w:t>
      </w:r>
      <w:r>
        <w:rPr>
          <w:rFonts w:hint="eastAsia" w:ascii="Times New Roman" w:hAnsi="Times New Roman" w:cs="仿宋"/>
          <w:snapToGrid w:val="0"/>
          <w:color w:val="000000"/>
          <w:spacing w:val="-4"/>
          <w:kern w:val="0"/>
          <w:sz w:val="36"/>
          <w:szCs w:val="36"/>
          <w:highlight w:val="none"/>
          <w:lang w:val="en-US" w:eastAsia="zh-CN" w:bidi="ar-SA"/>
        </w:rPr>
        <w:t>日常监控，发现问题应当及时采取措施予以纠正，确保项目按预定计划推进，年度绩效目标按期实现。</w:t>
      </w:r>
    </w:p>
    <w:p w14:paraId="4A87E189">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eastAsia="仿宋" w:cs="仿宋"/>
          <w:snapToGrid w:val="0"/>
          <w:color w:val="000000"/>
          <w:spacing w:val="-4"/>
          <w:kern w:val="0"/>
          <w:sz w:val="36"/>
          <w:szCs w:val="36"/>
          <w:highlight w:val="none"/>
          <w:lang w:val="en-US" w:eastAsia="zh-CN" w:bidi="ar-SA"/>
        </w:rPr>
      </w:pPr>
      <w:r>
        <w:rPr>
          <w:rFonts w:hint="eastAsia" w:ascii="Times New Roman" w:hAnsi="Times New Roman" w:eastAsia="黑体" w:cs="黑体"/>
          <w:snapToGrid/>
          <w:color w:val="auto"/>
          <w:kern w:val="2"/>
          <w:sz w:val="36"/>
          <w:szCs w:val="36"/>
          <w:lang w:val="en-US" w:eastAsia="zh-CN" w:bidi="ar-SA"/>
        </w:rPr>
        <w:t>第二十二条</w:t>
      </w:r>
      <w:r>
        <w:rPr>
          <w:rFonts w:hint="eastAsia" w:ascii="Times New Roman" w:hAnsi="Times New Roman" w:eastAsia="黑体" w:cs="黑体"/>
          <w:snapToGrid w:val="0"/>
          <w:color w:val="000000"/>
          <w:spacing w:val="17"/>
          <w:kern w:val="0"/>
          <w:sz w:val="36"/>
          <w:szCs w:val="36"/>
          <w:lang w:val="en-US" w:eastAsia="zh-CN" w:bidi="ar-SA"/>
        </w:rPr>
        <w:t xml:space="preserve">  </w:t>
      </w:r>
      <w:r>
        <w:rPr>
          <w:rFonts w:hint="eastAsia" w:ascii="Times New Roman" w:hAnsi="Times New Roman" w:cs="仿宋"/>
          <w:snapToGrid w:val="0"/>
          <w:color w:val="000000"/>
          <w:spacing w:val="-4"/>
          <w:kern w:val="0"/>
          <w:sz w:val="36"/>
          <w:szCs w:val="36"/>
          <w:highlight w:val="none"/>
          <w:lang w:val="en-US" w:eastAsia="zh-CN" w:bidi="ar-SA"/>
        </w:rPr>
        <w:t>市财政局对投资金额较大、社会关注度较高的项目开展重点绩效运行监控，对严重偏离绩效目标、问题突出且整改不到位的项目，调减预算或停止拨付项目资金。</w:t>
      </w:r>
      <w:r>
        <w:rPr>
          <w:rFonts w:hint="eastAsia" w:ascii="Times New Roman" w:hAnsi="Times New Roman" w:eastAsia="仿宋" w:cs="仿宋"/>
          <w:snapToGrid w:val="0"/>
          <w:color w:val="000000"/>
          <w:spacing w:val="-4"/>
          <w:kern w:val="0"/>
          <w:sz w:val="36"/>
          <w:szCs w:val="36"/>
          <w:highlight w:val="none"/>
          <w:lang w:val="en-US" w:eastAsia="zh-CN" w:bidi="ar-SA"/>
        </w:rPr>
        <w:t>绩效运行监控结果作为中期预算调整和以后年度预算安排和项目决策的参考。</w:t>
      </w:r>
    </w:p>
    <w:p w14:paraId="2061C8E2">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eastAsia="仿宋" w:cs="仿宋"/>
          <w:snapToGrid w:val="0"/>
          <w:color w:val="000000"/>
          <w:spacing w:val="-4"/>
          <w:kern w:val="0"/>
          <w:sz w:val="36"/>
          <w:szCs w:val="36"/>
          <w:highlight w:val="none"/>
          <w:lang w:val="en-US" w:eastAsia="zh-CN" w:bidi="ar-SA"/>
        </w:rPr>
      </w:pPr>
    </w:p>
    <w:p w14:paraId="524FDAC1">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jc w:val="center"/>
        <w:textAlignment w:val="baseline"/>
        <w:rPr>
          <w:rFonts w:hint="eastAsia" w:ascii="Times New Roman" w:hAnsi="Times New Roman" w:eastAsia="黑体" w:cs="黑体"/>
          <w:spacing w:val="-3"/>
          <w:sz w:val="36"/>
          <w:szCs w:val="36"/>
          <w:lang w:eastAsia="zh-CN"/>
        </w:rPr>
      </w:pPr>
      <w:r>
        <w:rPr>
          <w:rFonts w:hint="eastAsia" w:ascii="Times New Roman" w:hAnsi="Times New Roman" w:eastAsia="黑体" w:cs="黑体"/>
          <w:spacing w:val="-3"/>
          <w:sz w:val="36"/>
          <w:szCs w:val="36"/>
          <w:lang w:eastAsia="zh-CN"/>
        </w:rPr>
        <w:t>第六章 绩效评价管理</w:t>
      </w:r>
    </w:p>
    <w:p w14:paraId="5890916F">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jc w:val="center"/>
        <w:textAlignment w:val="baseline"/>
        <w:rPr>
          <w:rFonts w:hint="default" w:ascii="Times New Roman" w:hAnsi="Times New Roman" w:eastAsia="黑体" w:cs="黑体"/>
          <w:spacing w:val="-3"/>
          <w:sz w:val="36"/>
          <w:szCs w:val="36"/>
          <w:lang w:val="en-US" w:eastAsia="zh-CN"/>
        </w:rPr>
      </w:pPr>
    </w:p>
    <w:p w14:paraId="23ECAA7F">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cs="仿宋"/>
          <w:snapToGrid w:val="0"/>
          <w:color w:val="000000"/>
          <w:spacing w:val="-4"/>
          <w:kern w:val="0"/>
          <w:sz w:val="36"/>
          <w:szCs w:val="36"/>
          <w:lang w:val="en-US" w:eastAsia="zh-CN" w:bidi="ar-SA"/>
        </w:rPr>
      </w:pPr>
      <w:r>
        <w:rPr>
          <w:rFonts w:hint="eastAsia" w:ascii="Times New Roman" w:hAnsi="Times New Roman" w:eastAsia="黑体" w:cs="黑体"/>
          <w:snapToGrid/>
          <w:color w:val="auto"/>
          <w:kern w:val="2"/>
          <w:sz w:val="36"/>
          <w:szCs w:val="36"/>
          <w:lang w:val="en-US" w:eastAsia="zh-CN" w:bidi="ar-SA"/>
        </w:rPr>
        <w:t>第二十三条</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cs="仿宋"/>
          <w:snapToGrid w:val="0"/>
          <w:color w:val="000000"/>
          <w:spacing w:val="-4"/>
          <w:kern w:val="0"/>
          <w:sz w:val="36"/>
          <w:szCs w:val="36"/>
          <w:lang w:val="en-US" w:eastAsia="zh-CN" w:bidi="ar-SA"/>
        </w:rPr>
        <w:t>绩效评价是指市财政局和市直部门（单位）依照一定的评价程序，运用科学的评价方法，按照评价的内容和标准，对评价对象的绩效情况，进行考核和评判。</w:t>
      </w:r>
    </w:p>
    <w:p w14:paraId="7BF81DF4">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cs="仿宋"/>
          <w:snapToGrid w:val="0"/>
          <w:color w:val="000000"/>
          <w:spacing w:val="-4"/>
          <w:kern w:val="0"/>
          <w:sz w:val="36"/>
          <w:szCs w:val="36"/>
          <w:lang w:val="en-US" w:eastAsia="zh-CN" w:bidi="ar-SA"/>
        </w:rPr>
      </w:pPr>
      <w:r>
        <w:rPr>
          <w:rFonts w:hint="eastAsia" w:ascii="Times New Roman" w:hAnsi="Times New Roman" w:eastAsia="黑体" w:cs="黑体"/>
          <w:snapToGrid/>
          <w:color w:val="auto"/>
          <w:kern w:val="2"/>
          <w:sz w:val="36"/>
          <w:szCs w:val="36"/>
          <w:lang w:val="en-US" w:eastAsia="zh-CN" w:bidi="ar-SA"/>
        </w:rPr>
        <w:t xml:space="preserve">第二十四条 </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cs="仿宋"/>
          <w:snapToGrid w:val="0"/>
          <w:color w:val="000000"/>
          <w:spacing w:val="-4"/>
          <w:kern w:val="0"/>
          <w:sz w:val="36"/>
          <w:szCs w:val="36"/>
          <w:lang w:val="en-US" w:eastAsia="zh-CN" w:bidi="ar-SA"/>
        </w:rPr>
        <w:t>绩效评价一般以预算年度为周期，按照执行主体区分，可分为部门自评和财政评价。对跨年度的重大项目，必要时可实施阶段性绩效评价和全周期绩效评价。</w:t>
      </w:r>
    </w:p>
    <w:p w14:paraId="732EBA4C">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cs="仿宋"/>
          <w:snapToGrid w:val="0"/>
          <w:color w:val="000000"/>
          <w:spacing w:val="-4"/>
          <w:kern w:val="0"/>
          <w:sz w:val="36"/>
          <w:szCs w:val="36"/>
          <w:lang w:val="en-US" w:eastAsia="zh-CN" w:bidi="ar-SA"/>
        </w:rPr>
      </w:pPr>
      <w:r>
        <w:rPr>
          <w:rFonts w:hint="eastAsia" w:ascii="Times New Roman" w:hAnsi="Times New Roman" w:eastAsia="黑体" w:cs="黑体"/>
          <w:snapToGrid/>
          <w:color w:val="auto"/>
          <w:kern w:val="2"/>
          <w:sz w:val="36"/>
          <w:szCs w:val="36"/>
          <w:lang w:val="en-US" w:eastAsia="zh-CN" w:bidi="ar-SA"/>
        </w:rPr>
        <w:t>第二十五条</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cs="仿宋"/>
          <w:snapToGrid w:val="0"/>
          <w:color w:val="000000"/>
          <w:spacing w:val="-4"/>
          <w:kern w:val="0"/>
          <w:sz w:val="36"/>
          <w:szCs w:val="36"/>
          <w:lang w:val="en-US" w:eastAsia="zh-CN" w:bidi="ar-SA"/>
        </w:rPr>
        <w:t>项目单位按年度开展自评，对自评结果的真实性、完整性、准确性负责。行业主管部门对项目年度绩效目标、各项绩效指标完成情况以及预算执行情况进行审核，审核结果报市财政局备案</w:t>
      </w:r>
      <w:r>
        <w:rPr>
          <w:rFonts w:ascii="Times New Roman" w:hAnsi="Times New Roman"/>
          <w:spacing w:val="-8"/>
          <w:sz w:val="36"/>
          <w:szCs w:val="36"/>
        </w:rPr>
        <w:t>。</w:t>
      </w:r>
    </w:p>
    <w:p w14:paraId="2C9F05B5">
      <w:pPr>
        <w:pStyle w:val="5"/>
        <w:keepNext w:val="0"/>
        <w:keepLines w:val="0"/>
        <w:pageBreakBefore w:val="0"/>
        <w:widowControl/>
        <w:wordWrap/>
        <w:overflowPunct/>
        <w:topLinePunct w:val="0"/>
        <w:autoSpaceDE w:val="0"/>
        <w:autoSpaceDN w:val="0"/>
        <w:bidi w:val="0"/>
        <w:adjustRightInd w:val="0"/>
        <w:snapToGrid w:val="0"/>
        <w:spacing w:before="28" w:line="580" w:lineRule="exact"/>
        <w:ind w:right="28" w:firstLine="639"/>
        <w:textAlignment w:val="baseline"/>
        <w:rPr>
          <w:rFonts w:hint="eastAsia" w:ascii="Times New Roman" w:hAnsi="Times New Roman" w:cs="仿宋"/>
          <w:snapToGrid w:val="0"/>
          <w:color w:val="000000"/>
          <w:spacing w:val="-4"/>
          <w:kern w:val="0"/>
          <w:sz w:val="36"/>
          <w:szCs w:val="36"/>
          <w:lang w:val="en-US" w:eastAsia="zh-CN" w:bidi="ar-SA"/>
        </w:rPr>
      </w:pPr>
      <w:r>
        <w:rPr>
          <w:rFonts w:hint="eastAsia" w:ascii="Times New Roman" w:hAnsi="Times New Roman" w:eastAsia="黑体" w:cs="黑体"/>
          <w:snapToGrid/>
          <w:color w:val="auto"/>
          <w:kern w:val="2"/>
          <w:sz w:val="36"/>
          <w:szCs w:val="36"/>
          <w:lang w:val="en-US" w:eastAsia="zh-CN" w:bidi="ar-SA"/>
        </w:rPr>
        <w:t>第二十六条</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cs="仿宋"/>
          <w:snapToGrid w:val="0"/>
          <w:color w:val="000000"/>
          <w:spacing w:val="-4"/>
          <w:kern w:val="0"/>
          <w:sz w:val="36"/>
          <w:szCs w:val="36"/>
          <w:lang w:val="en-US" w:eastAsia="zh-CN" w:bidi="ar-SA"/>
        </w:rPr>
        <w:t>市财政局每年根据工作需要，选取部分</w:t>
      </w:r>
      <w:r>
        <w:rPr>
          <w:rFonts w:hint="eastAsia" w:ascii="Times New Roman" w:hAnsi="Times New Roman"/>
          <w:spacing w:val="-7"/>
          <w:sz w:val="36"/>
          <w:szCs w:val="36"/>
          <w:lang w:val="en-US" w:eastAsia="zh-CN"/>
        </w:rPr>
        <w:t>政府投资项目</w:t>
      </w:r>
      <w:r>
        <w:rPr>
          <w:rFonts w:hint="default" w:ascii="Times New Roman" w:hAnsi="Times New Roman" w:cs="仿宋"/>
          <w:snapToGrid w:val="0"/>
          <w:color w:val="000000"/>
          <w:spacing w:val="-4"/>
          <w:kern w:val="0"/>
          <w:sz w:val="36"/>
          <w:szCs w:val="36"/>
          <w:lang w:val="en-US" w:eastAsia="zh-CN" w:bidi="ar-SA"/>
        </w:rPr>
        <w:t>开展重点绩</w:t>
      </w:r>
      <w:r>
        <w:rPr>
          <w:rFonts w:hint="default" w:ascii="Times New Roman" w:hAnsi="Times New Roman"/>
          <w:spacing w:val="-7"/>
          <w:sz w:val="36"/>
          <w:szCs w:val="36"/>
          <w:lang w:val="en-US" w:eastAsia="zh-CN"/>
        </w:rPr>
        <w:t>效评价。</w:t>
      </w:r>
      <w:r>
        <w:rPr>
          <w:rFonts w:hint="eastAsia" w:ascii="Times New Roman" w:hAnsi="Times New Roman"/>
          <w:spacing w:val="-7"/>
          <w:sz w:val="36"/>
          <w:szCs w:val="36"/>
          <w:lang w:val="en-US" w:eastAsia="zh-CN"/>
        </w:rPr>
        <w:t>必要时</w:t>
      </w:r>
      <w:r>
        <w:rPr>
          <w:rFonts w:hint="default" w:ascii="Times New Roman" w:hAnsi="Times New Roman"/>
          <w:spacing w:val="-7"/>
          <w:sz w:val="36"/>
          <w:szCs w:val="36"/>
          <w:lang w:val="en-US" w:eastAsia="zh-CN"/>
        </w:rPr>
        <w:t>可委托具备资质的第三方专业机构独立实施，第三方机构对评价结果的客观性、公正性负责</w:t>
      </w:r>
      <w:r>
        <w:rPr>
          <w:rFonts w:hint="eastAsia" w:ascii="Times New Roman" w:hAnsi="Times New Roman" w:cs="仿宋"/>
          <w:snapToGrid w:val="0"/>
          <w:color w:val="000000"/>
          <w:spacing w:val="-4"/>
          <w:kern w:val="0"/>
          <w:sz w:val="36"/>
          <w:szCs w:val="36"/>
          <w:lang w:val="en-US" w:eastAsia="zh-CN" w:bidi="ar-SA"/>
        </w:rPr>
        <w:t>。</w:t>
      </w:r>
    </w:p>
    <w:p w14:paraId="52B5115B">
      <w:pPr>
        <w:pStyle w:val="5"/>
        <w:keepNext w:val="0"/>
        <w:keepLines w:val="0"/>
        <w:pageBreakBefore w:val="0"/>
        <w:widowControl/>
        <w:wordWrap/>
        <w:overflowPunct/>
        <w:topLinePunct w:val="0"/>
        <w:autoSpaceDE w:val="0"/>
        <w:autoSpaceDN w:val="0"/>
        <w:bidi w:val="0"/>
        <w:adjustRightInd w:val="0"/>
        <w:snapToGrid w:val="0"/>
        <w:spacing w:before="28" w:line="580" w:lineRule="exact"/>
        <w:ind w:right="28" w:firstLine="639"/>
        <w:textAlignment w:val="baseline"/>
        <w:rPr>
          <w:rFonts w:hint="eastAsia" w:ascii="Times New Roman" w:hAnsi="Times New Roman" w:cs="仿宋"/>
          <w:snapToGrid w:val="0"/>
          <w:color w:val="000000"/>
          <w:spacing w:val="-4"/>
          <w:kern w:val="0"/>
          <w:sz w:val="36"/>
          <w:szCs w:val="36"/>
          <w:lang w:val="en-US" w:eastAsia="zh-CN" w:bidi="ar-SA"/>
        </w:rPr>
      </w:pPr>
    </w:p>
    <w:p w14:paraId="79ABE257">
      <w:pPr>
        <w:keepNext w:val="0"/>
        <w:keepLines w:val="0"/>
        <w:pageBreakBefore w:val="0"/>
        <w:widowControl/>
        <w:wordWrap/>
        <w:overflowPunct/>
        <w:topLinePunct w:val="0"/>
        <w:autoSpaceDE w:val="0"/>
        <w:autoSpaceDN w:val="0"/>
        <w:bidi w:val="0"/>
        <w:adjustRightInd w:val="0"/>
        <w:snapToGrid w:val="0"/>
        <w:spacing w:before="101" w:line="580" w:lineRule="exact"/>
        <w:ind w:left="2200"/>
        <w:textAlignment w:val="baseline"/>
        <w:rPr>
          <w:rFonts w:hint="eastAsia" w:ascii="Times New Roman" w:hAnsi="Times New Roman" w:eastAsia="黑体" w:cs="黑体"/>
          <w:spacing w:val="-3"/>
          <w:sz w:val="36"/>
          <w:szCs w:val="36"/>
          <w:lang w:val="en-US" w:eastAsia="zh-CN"/>
        </w:rPr>
      </w:pPr>
      <w:r>
        <w:rPr>
          <w:rFonts w:hint="eastAsia" w:ascii="Times New Roman" w:hAnsi="Times New Roman" w:eastAsia="黑体" w:cs="黑体"/>
          <w:sz w:val="36"/>
          <w:szCs w:val="36"/>
          <w:lang w:eastAsia="zh-CN"/>
        </w:rPr>
        <w:t>第七章</w:t>
      </w:r>
      <w:r>
        <w:rPr>
          <w:rFonts w:ascii="Times New Roman" w:hAnsi="Times New Roman" w:eastAsia="黑体" w:cs="黑体"/>
          <w:spacing w:val="144"/>
          <w:sz w:val="36"/>
          <w:szCs w:val="36"/>
        </w:rPr>
        <w:t xml:space="preserve"> </w:t>
      </w:r>
      <w:r>
        <w:rPr>
          <w:rFonts w:ascii="Times New Roman" w:hAnsi="Times New Roman" w:eastAsia="黑体" w:cs="黑体"/>
          <w:spacing w:val="-3"/>
          <w:sz w:val="36"/>
          <w:szCs w:val="36"/>
        </w:rPr>
        <w:t>评价结果应用</w:t>
      </w:r>
      <w:r>
        <w:rPr>
          <w:rFonts w:hint="eastAsia" w:ascii="Times New Roman" w:hAnsi="Times New Roman" w:eastAsia="黑体" w:cs="黑体"/>
          <w:spacing w:val="-3"/>
          <w:sz w:val="36"/>
          <w:szCs w:val="36"/>
          <w:lang w:val="en-US" w:eastAsia="zh-CN"/>
        </w:rPr>
        <w:t>与公开</w:t>
      </w:r>
    </w:p>
    <w:p w14:paraId="4EE8E0A5">
      <w:pPr>
        <w:pStyle w:val="2"/>
        <w:rPr>
          <w:rFonts w:hint="eastAsia" w:ascii="Times New Roman" w:hAnsi="Times New Roman"/>
          <w:lang w:val="en-US" w:eastAsia="zh-CN"/>
        </w:rPr>
      </w:pPr>
    </w:p>
    <w:p w14:paraId="2061E26B">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spacing w:val="-7"/>
          <w:sz w:val="36"/>
          <w:szCs w:val="36"/>
          <w:lang w:val="en-US" w:eastAsia="zh-CN"/>
        </w:rPr>
      </w:pPr>
      <w:r>
        <w:rPr>
          <w:rFonts w:hint="eastAsia" w:ascii="Times New Roman" w:hAnsi="Times New Roman" w:eastAsia="黑体" w:cs="黑体"/>
          <w:snapToGrid/>
          <w:color w:val="auto"/>
          <w:kern w:val="2"/>
          <w:sz w:val="36"/>
          <w:szCs w:val="36"/>
          <w:lang w:val="en-US" w:eastAsia="zh-CN" w:bidi="ar-SA"/>
        </w:rPr>
        <w:t>第二十七条</w:t>
      </w:r>
      <w:r>
        <w:rPr>
          <w:rFonts w:hint="eastAsia" w:ascii="Times New Roman" w:hAnsi="Times New Roman" w:eastAsia="黑体" w:cs="黑体"/>
          <w:color w:val="FF0000"/>
          <w:spacing w:val="17"/>
          <w:sz w:val="36"/>
          <w:szCs w:val="36"/>
          <w:lang w:val="en-US" w:eastAsia="zh-CN"/>
        </w:rPr>
        <w:t xml:space="preserve">  </w:t>
      </w:r>
      <w:r>
        <w:rPr>
          <w:rFonts w:hint="eastAsia" w:ascii="Times New Roman" w:hAnsi="Times New Roman"/>
          <w:spacing w:val="-7"/>
          <w:sz w:val="36"/>
          <w:szCs w:val="36"/>
          <w:lang w:val="en-US" w:eastAsia="zh-CN"/>
        </w:rPr>
        <w:t>绩效评价结果实行百分制量化评分，按得分分为四个等级：90（含）—100分为优、80（含）—89 分为良、60（含）—80 分为中、60分以下为差。</w:t>
      </w:r>
    </w:p>
    <w:p w14:paraId="7D02227F">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eastAsia" w:ascii="Times New Roman" w:hAnsi="Times New Roman" w:eastAsia="仿宋_GB2312" w:cs="仿宋_GB2312"/>
          <w:snapToGrid/>
          <w:color w:val="auto"/>
          <w:kern w:val="0"/>
          <w:sz w:val="36"/>
          <w:szCs w:val="36"/>
          <w:lang w:val="en-US" w:eastAsia="zh-CN" w:bidi="ar"/>
        </w:rPr>
      </w:pPr>
      <w:r>
        <w:rPr>
          <w:rFonts w:hint="eastAsia" w:ascii="Times New Roman" w:hAnsi="Times New Roman" w:eastAsia="黑体" w:cs="黑体"/>
          <w:snapToGrid/>
          <w:color w:val="auto"/>
          <w:kern w:val="2"/>
          <w:sz w:val="36"/>
          <w:szCs w:val="36"/>
          <w:lang w:val="en-US" w:eastAsia="zh-CN" w:bidi="ar-SA"/>
        </w:rPr>
        <w:t>第二十八条</w:t>
      </w:r>
      <w:r>
        <w:rPr>
          <w:rFonts w:hint="eastAsia" w:ascii="Times New Roman" w:hAnsi="Times New Roman"/>
          <w:spacing w:val="-7"/>
          <w:sz w:val="36"/>
          <w:szCs w:val="36"/>
          <w:lang w:val="en-US" w:eastAsia="zh-CN"/>
        </w:rPr>
        <w:t xml:space="preserve">  </w:t>
      </w:r>
      <w:r>
        <w:rPr>
          <w:rFonts w:hint="eastAsia" w:ascii="Times New Roman" w:hAnsi="Times New Roman" w:eastAsia="仿宋_GB2312" w:cs="仿宋_GB2312"/>
          <w:snapToGrid/>
          <w:color w:val="auto"/>
          <w:kern w:val="0"/>
          <w:sz w:val="36"/>
          <w:szCs w:val="36"/>
          <w:lang w:val="en-US" w:eastAsia="zh-CN" w:bidi="ar"/>
        </w:rPr>
        <w:t>绩效评价结果</w:t>
      </w:r>
      <w:r>
        <w:rPr>
          <w:rFonts w:hint="default" w:ascii="Times New Roman" w:hAnsi="Times New Roman" w:eastAsia="仿宋_GB2312" w:cs="仿宋_GB2312"/>
          <w:snapToGrid/>
          <w:color w:val="auto"/>
          <w:kern w:val="0"/>
          <w:sz w:val="36"/>
          <w:szCs w:val="36"/>
          <w:lang w:val="en-US" w:eastAsia="zh-CN" w:bidi="ar"/>
        </w:rPr>
        <w:t>作为调整预算、加强预算管理和安排以后年度相关政府投资项目预算的重要依据。</w:t>
      </w:r>
      <w:r>
        <w:rPr>
          <w:rFonts w:hint="eastAsia" w:ascii="Times New Roman" w:hAnsi="Times New Roman" w:eastAsia="仿宋_GB2312" w:cs="仿宋_GB2312"/>
          <w:snapToGrid/>
          <w:color w:val="auto"/>
          <w:kern w:val="0"/>
          <w:sz w:val="36"/>
          <w:szCs w:val="36"/>
          <w:lang w:val="en-US" w:eastAsia="zh-CN" w:bidi="ar"/>
        </w:rPr>
        <w:t>原则上，</w:t>
      </w:r>
      <w:r>
        <w:rPr>
          <w:rFonts w:hint="default" w:ascii="Times New Roman" w:hAnsi="Times New Roman" w:eastAsia="仿宋_GB2312" w:cs="仿宋_GB2312"/>
          <w:snapToGrid/>
          <w:color w:val="auto"/>
          <w:kern w:val="0"/>
          <w:sz w:val="36"/>
          <w:szCs w:val="36"/>
          <w:lang w:val="en-US" w:eastAsia="zh-CN" w:bidi="ar"/>
        </w:rPr>
        <w:t>优先保障评价结果为“优”的项目；</w:t>
      </w:r>
      <w:r>
        <w:rPr>
          <w:rFonts w:hint="eastAsia" w:ascii="Times New Roman" w:hAnsi="Times New Roman" w:eastAsia="仿宋_GB2312" w:cs="仿宋_GB2312"/>
          <w:snapToGrid/>
          <w:color w:val="auto"/>
          <w:kern w:val="0"/>
          <w:sz w:val="36"/>
          <w:szCs w:val="36"/>
          <w:lang w:val="en-US" w:eastAsia="zh-CN" w:bidi="ar"/>
        </w:rPr>
        <w:t>从紧安排或</w:t>
      </w:r>
      <w:r>
        <w:rPr>
          <w:rFonts w:hint="default" w:ascii="Times New Roman" w:hAnsi="Times New Roman" w:eastAsia="仿宋_GB2312" w:cs="仿宋_GB2312"/>
          <w:snapToGrid/>
          <w:color w:val="auto"/>
          <w:kern w:val="0"/>
          <w:sz w:val="36"/>
          <w:szCs w:val="36"/>
          <w:lang w:val="en-US" w:eastAsia="zh-CN" w:bidi="ar"/>
        </w:rPr>
        <w:t>核减预算结果为“</w:t>
      </w:r>
      <w:r>
        <w:rPr>
          <w:rFonts w:hint="eastAsia" w:ascii="Times New Roman" w:hAnsi="Times New Roman" w:eastAsia="仿宋_GB2312" w:cs="仿宋_GB2312"/>
          <w:snapToGrid/>
          <w:color w:val="auto"/>
          <w:kern w:val="0"/>
          <w:sz w:val="36"/>
          <w:szCs w:val="36"/>
          <w:lang w:val="en-US" w:eastAsia="zh-CN" w:bidi="ar"/>
        </w:rPr>
        <w:t>良”“</w:t>
      </w:r>
      <w:r>
        <w:rPr>
          <w:rFonts w:hint="default" w:ascii="Times New Roman" w:hAnsi="Times New Roman" w:eastAsia="仿宋_GB2312" w:cs="仿宋_GB2312"/>
          <w:snapToGrid/>
          <w:color w:val="auto"/>
          <w:kern w:val="0"/>
          <w:sz w:val="36"/>
          <w:szCs w:val="36"/>
          <w:lang w:val="en-US" w:eastAsia="zh-CN" w:bidi="ar"/>
        </w:rPr>
        <w:t>中”的项目；取消或暂停结果为“差”的项目</w:t>
      </w:r>
      <w:r>
        <w:rPr>
          <w:rFonts w:hint="eastAsia" w:ascii="Times New Roman" w:hAnsi="Times New Roman" w:eastAsia="仿宋_GB2312" w:cs="仿宋_GB2312"/>
          <w:snapToGrid/>
          <w:color w:val="auto"/>
          <w:kern w:val="0"/>
          <w:sz w:val="36"/>
          <w:szCs w:val="36"/>
          <w:lang w:val="en-US" w:eastAsia="zh-CN" w:bidi="ar"/>
        </w:rPr>
        <w:t>。</w:t>
      </w:r>
    </w:p>
    <w:p w14:paraId="5C162B2F">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textAlignment w:val="baseline"/>
        <w:rPr>
          <w:rFonts w:hint="default" w:ascii="Times New Roman" w:hAnsi="Times New Roman" w:cs="仿宋"/>
          <w:snapToGrid w:val="0"/>
          <w:color w:val="000000"/>
          <w:spacing w:val="-4"/>
          <w:kern w:val="0"/>
          <w:sz w:val="36"/>
          <w:szCs w:val="36"/>
          <w:lang w:val="en-US" w:eastAsia="zh-CN" w:bidi="ar-SA"/>
        </w:rPr>
      </w:pPr>
      <w:r>
        <w:rPr>
          <w:rFonts w:hint="eastAsia" w:ascii="Times New Roman" w:hAnsi="Times New Roman" w:eastAsia="黑体" w:cs="黑体"/>
          <w:snapToGrid/>
          <w:color w:val="auto"/>
          <w:kern w:val="2"/>
          <w:sz w:val="36"/>
          <w:szCs w:val="36"/>
          <w:lang w:val="en-US" w:eastAsia="zh-CN" w:bidi="ar-SA"/>
        </w:rPr>
        <w:t>第二十九条</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cs="仿宋"/>
          <w:snapToGrid w:val="0"/>
          <w:color w:val="000000"/>
          <w:spacing w:val="-4"/>
          <w:kern w:val="0"/>
          <w:sz w:val="36"/>
          <w:szCs w:val="36"/>
          <w:lang w:val="en-US" w:eastAsia="zh-CN" w:bidi="ar-SA"/>
        </w:rPr>
        <w:t>市财政局应及时将重点绩效评价结果反馈相关行业主管部门和项目单位，明确整改要求。行业主管部门和项目单位应当在规定时间内完成整改并报送整改落实情况。</w:t>
      </w:r>
    </w:p>
    <w:p w14:paraId="44E9A979">
      <w:pPr>
        <w:pStyle w:val="5"/>
        <w:keepNext w:val="0"/>
        <w:keepLines w:val="0"/>
        <w:pageBreakBefore w:val="0"/>
        <w:widowControl/>
        <w:wordWrap/>
        <w:overflowPunct/>
        <w:topLinePunct w:val="0"/>
        <w:autoSpaceDE w:val="0"/>
        <w:autoSpaceDN w:val="0"/>
        <w:bidi w:val="0"/>
        <w:adjustRightInd w:val="0"/>
        <w:snapToGrid w:val="0"/>
        <w:spacing w:line="580" w:lineRule="exact"/>
        <w:ind w:firstLine="720" w:firstLineChars="200"/>
        <w:textAlignment w:val="baseline"/>
        <w:rPr>
          <w:rFonts w:ascii="Times New Roman" w:hAnsi="Times New Roman"/>
          <w:sz w:val="36"/>
          <w:szCs w:val="36"/>
        </w:rPr>
      </w:pPr>
      <w:r>
        <w:rPr>
          <w:rFonts w:hint="eastAsia" w:ascii="Times New Roman" w:hAnsi="Times New Roman" w:eastAsia="黑体" w:cs="黑体"/>
          <w:snapToGrid/>
          <w:color w:val="auto"/>
          <w:kern w:val="2"/>
          <w:sz w:val="36"/>
          <w:szCs w:val="36"/>
          <w:lang w:val="en-US" w:eastAsia="zh-CN" w:bidi="ar-SA"/>
        </w:rPr>
        <w:t>第三十条</w:t>
      </w:r>
      <w:r>
        <w:rPr>
          <w:rFonts w:hint="eastAsia" w:ascii="Times New Roman" w:hAnsi="Times New Roman" w:eastAsia="黑体" w:cs="黑体"/>
          <w:spacing w:val="17"/>
          <w:sz w:val="36"/>
          <w:szCs w:val="36"/>
          <w:lang w:val="en-US" w:eastAsia="zh-CN"/>
        </w:rPr>
        <w:t xml:space="preserve">  </w:t>
      </w:r>
      <w:r>
        <w:rPr>
          <w:rFonts w:hint="eastAsia" w:ascii="Times New Roman" w:hAnsi="Times New Roman"/>
          <w:spacing w:val="-7"/>
          <w:sz w:val="36"/>
          <w:szCs w:val="36"/>
          <w:lang w:val="en-US" w:eastAsia="zh-CN"/>
        </w:rPr>
        <w:t>除涉密内容外，</w:t>
      </w:r>
      <w:r>
        <w:rPr>
          <w:rFonts w:hint="eastAsia" w:ascii="Times New Roman" w:hAnsi="Times New Roman" w:cs="仿宋"/>
          <w:snapToGrid w:val="0"/>
          <w:color w:val="000000"/>
          <w:spacing w:val="-4"/>
          <w:kern w:val="0"/>
          <w:sz w:val="36"/>
          <w:szCs w:val="36"/>
          <w:lang w:val="en-US" w:eastAsia="zh-CN" w:bidi="ar-SA"/>
        </w:rPr>
        <w:t>绩效评价结果按照信息公开有关规定，及时向社会公开，主动接受社会公众监督。</w:t>
      </w:r>
    </w:p>
    <w:p w14:paraId="6D29CFC8">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720" w:firstLineChars="200"/>
        <w:textAlignment w:val="baseline"/>
        <w:rPr>
          <w:rFonts w:hint="default" w:ascii="Times New Roman" w:hAnsi="Times New Roman" w:eastAsia="仿宋_GB2312" w:cs="仿宋_GB2312"/>
          <w:snapToGrid/>
          <w:color w:val="auto"/>
          <w:kern w:val="0"/>
          <w:sz w:val="36"/>
          <w:szCs w:val="36"/>
          <w:lang w:val="en-US" w:eastAsia="zh-CN" w:bidi="ar"/>
        </w:rPr>
      </w:pPr>
      <w:r>
        <w:rPr>
          <w:rFonts w:hint="eastAsia" w:ascii="Times New Roman" w:hAnsi="Times New Roman" w:eastAsia="黑体" w:cs="黑体"/>
          <w:snapToGrid/>
          <w:color w:val="auto"/>
          <w:kern w:val="2"/>
          <w:sz w:val="36"/>
          <w:szCs w:val="36"/>
          <w:lang w:val="en-US" w:eastAsia="zh-CN" w:bidi="ar-SA"/>
        </w:rPr>
        <w:t>第三十一条</w:t>
      </w:r>
      <w:r>
        <w:rPr>
          <w:rFonts w:ascii="Times New Roman" w:hAnsi="Times New Roman" w:eastAsia="黑体" w:cs="黑体"/>
          <w:spacing w:val="-9"/>
          <w:sz w:val="36"/>
          <w:szCs w:val="36"/>
        </w:rPr>
        <w:t xml:space="preserve"> </w:t>
      </w:r>
      <w:r>
        <w:rPr>
          <w:rFonts w:hint="eastAsia" w:ascii="Times New Roman" w:hAnsi="Times New Roman" w:eastAsia="黑体" w:cs="黑体"/>
          <w:spacing w:val="-9"/>
          <w:sz w:val="36"/>
          <w:szCs w:val="36"/>
          <w:lang w:val="en-US" w:eastAsia="zh-CN"/>
        </w:rPr>
        <w:t xml:space="preserve"> </w:t>
      </w:r>
      <w:r>
        <w:rPr>
          <w:rFonts w:hint="eastAsia" w:ascii="Times New Roman" w:hAnsi="Times New Roman" w:eastAsia="仿宋_GB2312" w:cs="仿宋_GB2312"/>
          <w:snapToGrid/>
          <w:color w:val="auto"/>
          <w:kern w:val="0"/>
          <w:sz w:val="36"/>
          <w:szCs w:val="36"/>
          <w:lang w:val="en-US" w:eastAsia="zh-CN" w:bidi="ar"/>
        </w:rPr>
        <w:t>对使用财政资金严重低效无效并造成重大损失的，以及存在滥用职权、弄虚作假、玩忽职守、徇私舞弊等违法违规行为的项目单位及相关责任人，依照《中华人民共和国预算法》《财政违法行为处罚处分条例》等有关规定追究责任；涉嫌违纪违法的，按照规定移交纪检监察部门、司法机关处理。</w:t>
      </w:r>
    </w:p>
    <w:p w14:paraId="57858DC1">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jc w:val="both"/>
        <w:textAlignment w:val="baseline"/>
        <w:rPr>
          <w:rFonts w:hint="default" w:ascii="Times New Roman" w:hAnsi="Times New Roman" w:eastAsia="黑体" w:cs="黑体"/>
          <w:spacing w:val="-3"/>
          <w:sz w:val="36"/>
          <w:szCs w:val="36"/>
          <w:lang w:val="en-US" w:eastAsia="zh-CN"/>
        </w:rPr>
      </w:pPr>
    </w:p>
    <w:p w14:paraId="5EE04229">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jc w:val="center"/>
        <w:textAlignment w:val="baseline"/>
        <w:rPr>
          <w:rFonts w:hint="eastAsia" w:ascii="Times New Roman" w:hAnsi="Times New Roman" w:eastAsia="黑体" w:cs="黑体"/>
          <w:spacing w:val="-3"/>
          <w:sz w:val="36"/>
          <w:szCs w:val="36"/>
          <w:lang w:val="en-US" w:eastAsia="zh-CN"/>
        </w:rPr>
      </w:pPr>
      <w:r>
        <w:rPr>
          <w:rFonts w:hint="eastAsia" w:ascii="Times New Roman" w:hAnsi="Times New Roman" w:eastAsia="黑体" w:cs="黑体"/>
          <w:spacing w:val="-3"/>
          <w:sz w:val="36"/>
          <w:szCs w:val="36"/>
          <w:lang w:val="en-US" w:eastAsia="zh-CN"/>
        </w:rPr>
        <w:t>第八章</w:t>
      </w:r>
      <w:r>
        <w:rPr>
          <w:rFonts w:hint="default" w:ascii="Times New Roman" w:hAnsi="Times New Roman" w:eastAsia="黑体" w:cs="黑体"/>
          <w:spacing w:val="-3"/>
          <w:sz w:val="36"/>
          <w:szCs w:val="36"/>
          <w:lang w:val="en-US" w:eastAsia="zh-CN"/>
        </w:rPr>
        <w:t xml:space="preserve"> </w:t>
      </w:r>
      <w:r>
        <w:rPr>
          <w:rFonts w:hint="eastAsia" w:ascii="Times New Roman" w:hAnsi="Times New Roman" w:eastAsia="黑体" w:cs="黑体"/>
          <w:spacing w:val="-3"/>
          <w:sz w:val="36"/>
          <w:szCs w:val="36"/>
          <w:lang w:val="en-US" w:eastAsia="zh-CN"/>
        </w:rPr>
        <w:t>附则</w:t>
      </w:r>
    </w:p>
    <w:p w14:paraId="390F4881">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firstLine="649"/>
        <w:jc w:val="center"/>
        <w:textAlignment w:val="baseline"/>
        <w:rPr>
          <w:rFonts w:hint="eastAsia" w:ascii="Times New Roman" w:hAnsi="Times New Roman" w:eastAsia="黑体" w:cs="黑体"/>
          <w:spacing w:val="-3"/>
          <w:sz w:val="36"/>
          <w:szCs w:val="36"/>
          <w:lang w:val="en-US" w:eastAsia="zh-CN"/>
        </w:rPr>
      </w:pPr>
    </w:p>
    <w:p w14:paraId="2BA07A32">
      <w:pPr>
        <w:pStyle w:val="9"/>
        <w:keepNext w:val="0"/>
        <w:keepLines w:val="0"/>
        <w:widowControl/>
        <w:suppressLineNumbers w:val="0"/>
        <w:spacing w:before="0" w:beforeAutospacing="0" w:after="0" w:afterAutospacing="0"/>
        <w:ind w:left="0" w:right="0" w:firstLine="720" w:firstLineChars="200"/>
        <w:rPr>
          <w:rFonts w:hint="eastAsia" w:ascii="Times New Roman" w:hAnsi="Times New Roman" w:eastAsia="仿宋_GB2312" w:cs="仿宋_GB2312"/>
          <w:snapToGrid/>
          <w:color w:val="auto"/>
          <w:kern w:val="0"/>
          <w:sz w:val="36"/>
          <w:szCs w:val="36"/>
          <w:lang w:val="en-US" w:eastAsia="zh-CN" w:bidi="ar"/>
        </w:rPr>
      </w:pPr>
      <w:r>
        <w:rPr>
          <w:rFonts w:hint="eastAsia" w:ascii="Times New Roman" w:hAnsi="Times New Roman" w:eastAsia="黑体" w:cs="黑体"/>
          <w:snapToGrid/>
          <w:color w:val="auto"/>
          <w:kern w:val="2"/>
          <w:sz w:val="36"/>
          <w:szCs w:val="36"/>
          <w:lang w:val="en-US" w:eastAsia="zh-CN" w:bidi="ar-SA"/>
        </w:rPr>
        <w:t>第三十二条</w:t>
      </w:r>
      <w:r>
        <w:rPr>
          <w:rFonts w:hint="default" w:ascii="Times New Roman" w:hAnsi="Times New Roman" w:eastAsia="黑体" w:cs="黑体"/>
          <w:snapToGrid w:val="0"/>
          <w:color w:val="000000"/>
          <w:spacing w:val="-9"/>
          <w:kern w:val="0"/>
          <w:sz w:val="36"/>
          <w:szCs w:val="36"/>
          <w:lang w:val="en-US" w:eastAsia="zh-CN" w:bidi="ar-SA"/>
        </w:rPr>
        <w:t xml:space="preserve"> </w:t>
      </w:r>
      <w:r>
        <w:rPr>
          <w:rFonts w:hint="eastAsia" w:ascii="Times New Roman" w:hAnsi="Times New Roman" w:eastAsia="黑体" w:cs="黑体"/>
          <w:snapToGrid w:val="0"/>
          <w:color w:val="000000"/>
          <w:spacing w:val="-9"/>
          <w:kern w:val="0"/>
          <w:sz w:val="36"/>
          <w:szCs w:val="36"/>
          <w:lang w:val="en-US" w:eastAsia="zh-CN" w:bidi="ar-SA"/>
        </w:rPr>
        <w:t xml:space="preserve"> </w:t>
      </w:r>
      <w:r>
        <w:rPr>
          <w:rFonts w:hint="eastAsia" w:ascii="Times New Roman" w:hAnsi="Times New Roman" w:eastAsia="仿宋_GB2312" w:cs="仿宋_GB2312"/>
          <w:snapToGrid/>
          <w:color w:val="auto"/>
          <w:kern w:val="2"/>
          <w:sz w:val="36"/>
          <w:szCs w:val="36"/>
          <w:lang w:val="en-US" w:eastAsia="zh-CN" w:bidi="ar-SA"/>
        </w:rPr>
        <w:t>各县（市、区）可参照本办法，结合本地实际，制定本地区政府投资项目全过程预算绩效管理办法。</w:t>
      </w:r>
    </w:p>
    <w:p w14:paraId="6D2F8E6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napToGrid/>
          <w:color w:val="auto"/>
          <w:kern w:val="0"/>
          <w:sz w:val="36"/>
          <w:szCs w:val="36"/>
          <w:lang w:val="en-US" w:eastAsia="zh-CN" w:bidi="ar"/>
        </w:rPr>
      </w:pPr>
      <w:r>
        <w:rPr>
          <w:rFonts w:hint="eastAsia" w:ascii="Times New Roman" w:hAnsi="Times New Roman" w:eastAsia="黑体" w:cs="黑体"/>
          <w:snapToGrid/>
          <w:color w:val="auto"/>
          <w:kern w:val="2"/>
          <w:sz w:val="36"/>
          <w:szCs w:val="36"/>
          <w:lang w:val="en-US" w:eastAsia="zh-CN"/>
        </w:rPr>
        <w:t>第三十三条</w:t>
      </w:r>
      <w:r>
        <w:rPr>
          <w:rFonts w:hint="default" w:ascii="Times New Roman" w:hAnsi="Times New Roman" w:eastAsia="黑体" w:cs="黑体"/>
          <w:snapToGrid w:val="0"/>
          <w:color w:val="000000"/>
          <w:spacing w:val="-9"/>
          <w:kern w:val="0"/>
          <w:sz w:val="36"/>
          <w:szCs w:val="36"/>
          <w:lang w:val="en-US" w:eastAsia="zh-CN" w:bidi="ar-SA"/>
        </w:rPr>
        <w:t>　</w:t>
      </w:r>
      <w:r>
        <w:rPr>
          <w:rFonts w:hint="eastAsia" w:ascii="Times New Roman" w:hAnsi="Times New Roman" w:eastAsia="仿宋_GB2312" w:cs="仿宋_GB2312"/>
          <w:snapToGrid/>
          <w:color w:val="auto"/>
          <w:kern w:val="0"/>
          <w:sz w:val="36"/>
          <w:szCs w:val="36"/>
          <w:lang w:val="en-US" w:eastAsia="zh-CN" w:bidi="ar"/>
        </w:rPr>
        <w:t>对使用上级资金的项目且上级有明确规定的，按照相关规定执行。在施行过程中，如遇国家和省出台新规定，从其规定。</w:t>
      </w:r>
    </w:p>
    <w:p w14:paraId="49E2876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napToGrid/>
          <w:color w:val="auto"/>
          <w:kern w:val="0"/>
          <w:sz w:val="36"/>
          <w:szCs w:val="36"/>
          <w:lang w:val="en-US" w:eastAsia="zh-CN" w:bidi="ar"/>
        </w:rPr>
      </w:pPr>
      <w:r>
        <w:rPr>
          <w:rFonts w:hint="eastAsia" w:ascii="Times New Roman" w:hAnsi="Times New Roman" w:eastAsia="黑体" w:cs="黑体"/>
          <w:snapToGrid/>
          <w:color w:val="auto"/>
          <w:kern w:val="2"/>
          <w:sz w:val="36"/>
          <w:szCs w:val="36"/>
          <w:lang w:val="en-US" w:eastAsia="zh-CN"/>
        </w:rPr>
        <w:t>第三十四条</w:t>
      </w:r>
      <w:r>
        <w:rPr>
          <w:rFonts w:hint="default" w:ascii="Times New Roman" w:hAnsi="Times New Roman" w:eastAsia="黑体" w:cs="黑体"/>
          <w:snapToGrid w:val="0"/>
          <w:color w:val="000000"/>
          <w:spacing w:val="-9"/>
          <w:kern w:val="0"/>
          <w:sz w:val="36"/>
          <w:szCs w:val="36"/>
          <w:lang w:val="en-US" w:eastAsia="zh-CN" w:bidi="ar-SA"/>
        </w:rPr>
        <w:t>　</w:t>
      </w:r>
      <w:r>
        <w:rPr>
          <w:rFonts w:hint="eastAsia" w:ascii="Times New Roman" w:hAnsi="Times New Roman" w:eastAsia="仿宋_GB2312" w:cs="仿宋_GB2312"/>
          <w:snapToGrid/>
          <w:color w:val="auto"/>
          <w:kern w:val="0"/>
          <w:sz w:val="36"/>
          <w:szCs w:val="36"/>
          <w:lang w:val="en-US" w:eastAsia="zh-CN" w:bidi="ar"/>
        </w:rPr>
        <w:t>本办法自印发之日起施行，有效期两年。本市此前发布的相关规定与本办法不一致的，以本办法为准。</w:t>
      </w:r>
    </w:p>
    <w:p w14:paraId="255B6AF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仿宋"/>
          <w:snapToGrid w:val="0"/>
          <w:color w:val="000000"/>
          <w:spacing w:val="-4"/>
          <w:kern w:val="0"/>
          <w:sz w:val="32"/>
          <w:szCs w:val="32"/>
          <w:lang w:val="en-US" w:eastAsia="zh-CN" w:bidi="ar-SA"/>
        </w:rPr>
      </w:pPr>
      <w:r>
        <w:rPr>
          <w:rFonts w:hint="eastAsia" w:ascii="Times New Roman" w:hAnsi="Times New Roman" w:eastAsia="黑体" w:cs="黑体"/>
          <w:snapToGrid/>
          <w:color w:val="auto"/>
          <w:kern w:val="2"/>
          <w:sz w:val="36"/>
          <w:szCs w:val="36"/>
          <w:lang w:val="en-US" w:eastAsia="zh-CN"/>
        </w:rPr>
        <w:t>第三十五条</w:t>
      </w:r>
      <w:r>
        <w:rPr>
          <w:rFonts w:hint="default" w:ascii="Times New Roman" w:hAnsi="Times New Roman" w:eastAsia="黑体" w:cs="黑体"/>
          <w:snapToGrid w:val="0"/>
          <w:color w:val="000000"/>
          <w:spacing w:val="-9"/>
          <w:kern w:val="0"/>
          <w:sz w:val="36"/>
          <w:szCs w:val="36"/>
          <w:lang w:val="en-US" w:eastAsia="zh-CN" w:bidi="ar-SA"/>
        </w:rPr>
        <w:t>　</w:t>
      </w:r>
      <w:r>
        <w:rPr>
          <w:rFonts w:hint="eastAsia" w:ascii="Times New Roman" w:hAnsi="Times New Roman" w:eastAsia="仿宋_GB2312" w:cs="仿宋_GB2312"/>
          <w:snapToGrid/>
          <w:color w:val="auto"/>
          <w:kern w:val="0"/>
          <w:sz w:val="36"/>
          <w:szCs w:val="36"/>
          <w:lang w:val="en-US" w:eastAsia="zh-CN" w:bidi="ar"/>
        </w:rPr>
        <w:t>本办法由市财政局负责解释。</w:t>
      </w:r>
    </w:p>
    <w:p w14:paraId="1FBC73D8">
      <w:pPr>
        <w:pStyle w:val="5"/>
        <w:keepNext w:val="0"/>
        <w:keepLines w:val="0"/>
        <w:pageBreakBefore w:val="0"/>
        <w:widowControl/>
        <w:kinsoku/>
        <w:wordWrap/>
        <w:overflowPunct/>
        <w:topLinePunct w:val="0"/>
        <w:autoSpaceDE w:val="0"/>
        <w:autoSpaceDN w:val="0"/>
        <w:bidi w:val="0"/>
        <w:adjustRightInd w:val="0"/>
        <w:snapToGrid w:val="0"/>
        <w:spacing w:before="105" w:line="580" w:lineRule="exact"/>
        <w:ind w:right="29"/>
        <w:textAlignment w:val="baseline"/>
        <w:rPr>
          <w:rFonts w:hint="default" w:ascii="Times New Roman" w:hAnsi="Times New Roman" w:cs="仿宋"/>
          <w:snapToGrid w:val="0"/>
          <w:color w:val="000000"/>
          <w:spacing w:val="-4"/>
          <w:kern w:val="0"/>
          <w:sz w:val="32"/>
          <w:szCs w:val="32"/>
          <w:lang w:val="en-US" w:eastAsia="zh-CN" w:bidi="ar-SA"/>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0BDF22-B4CF-401D-81B9-49910B8A74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embedRegular r:id="rId2" w:fontKey="{6EDA6B49-7936-40A3-8063-E7DA61308FB6}"/>
  </w:font>
  <w:font w:name="仿宋_GB2312">
    <w:altName w:val="仿宋"/>
    <w:panose1 w:val="02010609030101010101"/>
    <w:charset w:val="86"/>
    <w:family w:val="auto"/>
    <w:pitch w:val="default"/>
    <w:sig w:usb0="00000000" w:usb1="00000000" w:usb2="00000000" w:usb3="00000000" w:csb0="00040000" w:csb1="00000000"/>
    <w:embedRegular r:id="rId3" w:fontKey="{96459AE2-09EE-44ED-A047-40BBB399726A}"/>
  </w:font>
  <w:font w:name="仿宋">
    <w:panose1 w:val="02010609060101010101"/>
    <w:charset w:val="86"/>
    <w:family w:val="auto"/>
    <w:pitch w:val="default"/>
    <w:sig w:usb0="800002BF" w:usb1="38CF7CFA" w:usb2="00000016" w:usb3="00000000" w:csb0="00040001" w:csb1="00000000"/>
    <w:embedRegular r:id="rId4" w:fontKey="{557841D4-6C7B-406D-B06F-9C5BA56782F9}"/>
  </w:font>
  <w:font w:name="方正小标宋简体">
    <w:panose1 w:val="02000000000000000000"/>
    <w:charset w:val="86"/>
    <w:family w:val="script"/>
    <w:pitch w:val="default"/>
    <w:sig w:usb0="00000001" w:usb1="08000000" w:usb2="00000000" w:usb3="00000000" w:csb0="00040000" w:csb1="00000000"/>
    <w:embedRegular r:id="rId5" w:fontKey="{B4A11003-192A-45DA-9042-CF77843867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4B484">
    <w:pPr>
      <w:tabs>
        <w:tab w:val="left" w:pos="7331"/>
      </w:tabs>
      <w:spacing w:before="1" w:line="179" w:lineRule="auto"/>
      <w:rPr>
        <w:rFonts w:ascii="Times New Roman" w:hAnsi="Times New Roman" w:eastAsia="Times New Roman" w:cs="Times New Roman"/>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B19AF">
                          <w:pPr>
                            <w:pStyle w:val="7"/>
                            <w:rPr>
                              <w:rFonts w:hint="eastAsia" w:ascii="Times New Roman" w:hAnsi="Times New Roman" w:eastAsia="宋体" w:cs="Times New Roman"/>
                              <w:sz w:val="24"/>
                              <w:szCs w:val="32"/>
                              <w:lang w:val="en-US" w:eastAsia="zh-CN"/>
                            </w:rPr>
                          </w:pPr>
                          <w:r>
                            <w:rPr>
                              <w:rFonts w:hint="default" w:ascii="Times New Roman" w:hAnsi="Times New Roman" w:cs="Times New Roman"/>
                              <w:sz w:val="24"/>
                              <w:szCs w:val="32"/>
                            </w:rPr>
                            <w:t xml:space="preserve">— </w:t>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- 1 -</w:t>
                          </w:r>
                          <w:r>
                            <w:rPr>
                              <w:rFonts w:hint="default" w:ascii="Times New Roman" w:hAnsi="Times New Roman" w:cs="Times New Roman"/>
                              <w:sz w:val="24"/>
                              <w:szCs w:val="32"/>
                            </w:rPr>
                            <w:fldChar w:fldCharType="end"/>
                          </w:r>
                          <w:r>
                            <w:rPr>
                              <w:rFonts w:hint="default" w:ascii="Times New Roman" w:hAnsi="Times New Roman" w:cs="Times New Roman"/>
                              <w:sz w:val="24"/>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BB19AF">
                    <w:pPr>
                      <w:pStyle w:val="7"/>
                      <w:rPr>
                        <w:rFonts w:hint="eastAsia" w:ascii="Times New Roman" w:hAnsi="Times New Roman" w:eastAsia="宋体" w:cs="Times New Roman"/>
                        <w:sz w:val="24"/>
                        <w:szCs w:val="32"/>
                        <w:lang w:val="en-US" w:eastAsia="zh-CN"/>
                      </w:rPr>
                    </w:pPr>
                    <w:r>
                      <w:rPr>
                        <w:rFonts w:hint="default" w:ascii="Times New Roman" w:hAnsi="Times New Roman" w:cs="Times New Roman"/>
                        <w:sz w:val="24"/>
                        <w:szCs w:val="32"/>
                      </w:rPr>
                      <w:t xml:space="preserve">— </w:t>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- 1 -</w:t>
                    </w:r>
                    <w:r>
                      <w:rPr>
                        <w:rFonts w:hint="default" w:ascii="Times New Roman" w:hAnsi="Times New Roman" w:cs="Times New Roman"/>
                        <w:sz w:val="24"/>
                        <w:szCs w:val="32"/>
                      </w:rPr>
                      <w:fldChar w:fldCharType="end"/>
                    </w:r>
                    <w:r>
                      <w:rPr>
                        <w:rFonts w:hint="default" w:ascii="Times New Roman" w:hAnsi="Times New Roman" w:cs="Times New Roman"/>
                        <w:sz w:val="24"/>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8758A"/>
    <w:rsid w:val="02FD0B27"/>
    <w:rsid w:val="03505A77"/>
    <w:rsid w:val="09C96C0E"/>
    <w:rsid w:val="11471373"/>
    <w:rsid w:val="138F51F0"/>
    <w:rsid w:val="17E2630E"/>
    <w:rsid w:val="1A2A3350"/>
    <w:rsid w:val="1A670F01"/>
    <w:rsid w:val="1EFA5D84"/>
    <w:rsid w:val="20D962C2"/>
    <w:rsid w:val="26B36C87"/>
    <w:rsid w:val="288A6FED"/>
    <w:rsid w:val="303E28B2"/>
    <w:rsid w:val="3B9D5AC4"/>
    <w:rsid w:val="3E6571DF"/>
    <w:rsid w:val="42B01D92"/>
    <w:rsid w:val="44E15293"/>
    <w:rsid w:val="46537607"/>
    <w:rsid w:val="48864C0E"/>
    <w:rsid w:val="4BCE279B"/>
    <w:rsid w:val="4D5C5668"/>
    <w:rsid w:val="507A23AA"/>
    <w:rsid w:val="633418E4"/>
    <w:rsid w:val="687631A6"/>
    <w:rsid w:val="6D4535F9"/>
    <w:rsid w:val="708163AC"/>
    <w:rsid w:val="79A33E26"/>
    <w:rsid w:val="7B76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spacing w:beforeAutospacing="0" w:afterAutospacing="0" w:line="240" w:lineRule="auto"/>
      <w:jc w:val="left"/>
      <w:outlineLvl w:val="1"/>
    </w:pPr>
    <w:rPr>
      <w:rFonts w:hint="eastAsia" w:ascii="宋体" w:hAnsi="宋体" w:eastAsia="楷体" w:cs="宋体"/>
      <w:b/>
      <w:kern w:val="0"/>
      <w:lang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eastAsia="仿宋_GB2312"/>
      <w:sz w:val="32"/>
    </w:r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2"/>
      <w:szCs w:val="32"/>
      <w:lang w:val="en-US" w:eastAsia="en-US" w:bidi="ar-SA"/>
    </w:rPr>
  </w:style>
  <w:style w:type="paragraph" w:styleId="6">
    <w:name w:val="Body Text Indent 2"/>
    <w:basedOn w:val="1"/>
    <w:next w:val="1"/>
    <w:qFormat/>
    <w:uiPriority w:val="99"/>
    <w:pPr>
      <w:spacing w:line="480" w:lineRule="auto"/>
      <w:ind w:left="420" w:leftChars="200"/>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223273f8-da85-4fd4-a679-ab3ea1473f66</errorID>
      <errorWord> </errorWord>
      <group>L1_Punc</group>
      <groupName>标点问题</groupName>
      <ability>L2_Punc_CN</ability>
      <abilityName>标点符号问题</abilityName>
      <candidateList>
        <item/>
      </candidateList>
      <explain>此处空格冗余，建议删除。</explain>
      <paraID>1FF7D2BE</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f5866-e8ff-475a-b8e1-a5dfb1554afd}">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3341</Words>
  <Characters>3385</Characters>
  <Lines>0</Lines>
  <Paragraphs>0</Paragraphs>
  <TotalTime>0</TotalTime>
  <ScaleCrop>false</ScaleCrop>
  <LinksUpToDate>false</LinksUpToDate>
  <CharactersWithSpaces>3522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2026-05-20T08:25:00Z</dcterms:created>
  <dc:creator>Administrator</dc:creator>
  <cp:lastModifiedBy>ashin*</cp:lastModifiedBy>
  <cp:lastPrinted>2026-06-25T02:49:00Z</cp:lastPrinted>
  <dcterms:modified xsi:type="dcterms:W3CDTF">2026-06-26T02:38:02Z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eyJoZGlkIjoiYzMyYTdhOGRkMjFmZDA3Yzc1Y2JhMzViMDk3OTJkYTAiLCJ1c2VySWQiOiI2MTQ5OTU3OTUifQ==</vt:lpwstr>
  </property>
  <property fmtid="{D5CDD505-2E9C-101B-9397-08002B2CF9AE}" pid="4" name="ICV">
    <vt:lpwstr>62829C7B94F74996A8CF39EACF585C71_13</vt:lpwstr>
  </property>
</Properties>
</file>